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4E" w:rsidRPr="00F33FD6" w:rsidRDefault="00530C4E" w:rsidP="00530C4E">
      <w:r w:rsidRPr="00F33FD6">
        <w:t>Universidad Nacional De Cuyo Facultad de Artes y Diseño</w:t>
      </w:r>
    </w:p>
    <w:p w:rsidR="00530C4E" w:rsidRPr="00F33FD6" w:rsidRDefault="00530C4E" w:rsidP="00530C4E">
      <w:r w:rsidRPr="00F33FD6">
        <w:t>Historiografía de Historia del Arte.</w:t>
      </w:r>
    </w:p>
    <w:p w:rsidR="00530C4E" w:rsidRPr="00F33FD6" w:rsidRDefault="00530C4E" w:rsidP="00530C4E">
      <w:r w:rsidRPr="00F33FD6">
        <w:t>Año: 2020</w:t>
      </w:r>
    </w:p>
    <w:p w:rsidR="00DF7FD7" w:rsidRPr="00F33FD6" w:rsidRDefault="00DF7FD7" w:rsidP="00530C4E"/>
    <w:p w:rsidR="00F74039" w:rsidRPr="00F33FD6" w:rsidRDefault="00F74039" w:rsidP="00530C4E">
      <w:r w:rsidRPr="00F33FD6">
        <w:t>Presentación</w:t>
      </w:r>
    </w:p>
    <w:p w:rsidR="00530C4E" w:rsidRPr="00F33FD6" w:rsidRDefault="00F74039" w:rsidP="00530C4E">
      <w:r w:rsidRPr="00F33FD6">
        <w:t>E</w:t>
      </w:r>
      <w:r w:rsidR="00530C4E" w:rsidRPr="00F33FD6">
        <w:t xml:space="preserve">l hecho artístico se constituye como un fenómeno de gran complejidad, implica a sujetos </w:t>
      </w:r>
      <w:r w:rsidR="009473BF" w:rsidRPr="00F33FD6">
        <w:t>objetos</w:t>
      </w:r>
      <w:r w:rsidR="00530C4E" w:rsidRPr="00F33FD6">
        <w:rPr>
          <w:rStyle w:val="Refdenotaalpie"/>
        </w:rPr>
        <w:footnoteReference w:id="2"/>
      </w:r>
      <w:r w:rsidR="00530C4E" w:rsidRPr="00F33FD6">
        <w:t>, procesos, contextos y sus relaciones, múltiples y variables. La Historia del Arte como disciplina, se ha desarrollado como un lenguaje verbal, que opera sobre este fenómeno, discutiendo la noción misma de arte, de obra de arte, su objeto y universo de estudio, las dimensiones existenciales de los mismos –material, procedimientos, configuración perceptual, receptor de intencionalidad y significados artísticos individuales y sociales- y los modos de abordarlos, mediante diversas concepciones conceptuales, prácticas y metodológicas, a través del tiempo.</w:t>
      </w:r>
    </w:p>
    <w:p w:rsidR="00530C4E" w:rsidRPr="00F33FD6" w:rsidRDefault="00530C4E" w:rsidP="00530C4E">
      <w:r w:rsidRPr="00F33FD6">
        <w:t>La historiografía de la historia del arte estudia los objetos textuales, las fuentes bibliográficas y su propia producción disciplinar resultado de los procedimientos interpretativos desarrollados históricamente, en consideración de sus orígenes intelectuales, de los marcos teóricos, metodológicos e instrumentales con que el historiador del arte aborda la interpretación de los fenómenos artísticos.</w:t>
      </w:r>
    </w:p>
    <w:p w:rsidR="00530C4E" w:rsidRPr="00F33FD6" w:rsidRDefault="00530C4E" w:rsidP="00530C4E">
      <w:r w:rsidRPr="00F33FD6">
        <w:t>La Historia del Arte nace como disciplina autónoma en el siglo XVIII en Europa, junto a la Estética y la Crítica. Durante el siglo XIX se debaten los supuestos “filosóficos”, teóricos y metodológicos, que orientarán sus prácticas, hasta el siglo XX.</w:t>
      </w:r>
    </w:p>
    <w:p w:rsidR="00AE1C19" w:rsidRPr="00F33FD6" w:rsidRDefault="00530C4E" w:rsidP="00530C4E">
      <w:r w:rsidRPr="00F33FD6">
        <w:t>Desde la fundamentación</w:t>
      </w:r>
      <w:r w:rsidR="00F33FD6" w:rsidRPr="00F33FD6">
        <w:t xml:space="preserve"> </w:t>
      </w:r>
      <w:r w:rsidRPr="00F33FD6">
        <w:t>en el siglo XIX de sus aspectos epistemológicos</w:t>
      </w:r>
      <w:r w:rsidR="00D102E1" w:rsidRPr="00F33FD6">
        <w:t xml:space="preserve"> en la búsqueda de otorgar carácter de ciencia a</w:t>
      </w:r>
      <w:r w:rsidRPr="00F33FD6">
        <w:t xml:space="preserve"> la historia del arte,</w:t>
      </w:r>
      <w:r w:rsidR="00D102E1" w:rsidRPr="00F33FD6">
        <w:t xml:space="preserve"> emergieron</w:t>
      </w:r>
      <w:r w:rsidRPr="00F33FD6">
        <w:t xml:space="preserve"> diversas corrientes apoyadas en </w:t>
      </w:r>
      <w:r w:rsidR="00D102E1" w:rsidRPr="00F33FD6">
        <w:t xml:space="preserve">diferentes </w:t>
      </w:r>
      <w:r w:rsidRPr="00F33FD6">
        <w:t>concepciones del arte, de la historia, del conocimiento, de s</w:t>
      </w:r>
      <w:r w:rsidR="00D102E1" w:rsidRPr="00F33FD6">
        <w:t xml:space="preserve">us agentes y funciones sociales.  </w:t>
      </w:r>
      <w:r w:rsidRPr="00F33FD6">
        <w:t xml:space="preserve"> </w:t>
      </w:r>
      <w:r w:rsidR="00D102E1" w:rsidRPr="00F33FD6">
        <w:t>Es así que las perspectivas filológicas anexan la</w:t>
      </w:r>
      <w:r w:rsidRPr="00F33FD6">
        <w:t xml:space="preserve"> ampliación del contexto temporal y geográfico en pos de la idealista “historia universal”, </w:t>
      </w:r>
      <w:r w:rsidR="00D102E1" w:rsidRPr="00F33FD6">
        <w:t xml:space="preserve">los </w:t>
      </w:r>
      <w:r w:rsidRPr="00F33FD6">
        <w:t>puntos de vista sociológicos y positivistas</w:t>
      </w:r>
      <w:r w:rsidR="00D102E1" w:rsidRPr="00F33FD6">
        <w:t xml:space="preserve"> </w:t>
      </w:r>
      <w:r w:rsidR="00582505" w:rsidRPr="00F33FD6">
        <w:t>relevan aspectos empíricos</w:t>
      </w:r>
      <w:r w:rsidR="00AE1C19" w:rsidRPr="00F33FD6">
        <w:t xml:space="preserve">, </w:t>
      </w:r>
      <w:r w:rsidR="00662875" w:rsidRPr="00F33FD6">
        <w:t>la</w:t>
      </w:r>
      <w:r w:rsidR="00582505" w:rsidRPr="00F33FD6">
        <w:t xml:space="preserve">s </w:t>
      </w:r>
      <w:r w:rsidR="00662875" w:rsidRPr="00F33FD6">
        <w:t>visiones</w:t>
      </w:r>
      <w:r w:rsidR="00582505" w:rsidRPr="00F33FD6">
        <w:t xml:space="preserve"> </w:t>
      </w:r>
      <w:r w:rsidRPr="00F33FD6">
        <w:t>culturalistas</w:t>
      </w:r>
      <w:r w:rsidR="00582505" w:rsidRPr="00F33FD6">
        <w:t xml:space="preserve"> complejizan </w:t>
      </w:r>
      <w:r w:rsidR="00B10772" w:rsidRPr="00F33FD6">
        <w:t xml:space="preserve">la </w:t>
      </w:r>
      <w:r w:rsidR="00B10772" w:rsidRPr="00F33FD6">
        <w:lastRenderedPageBreak/>
        <w:t xml:space="preserve">trama </w:t>
      </w:r>
      <w:r w:rsidR="00582505" w:rsidRPr="00F33FD6">
        <w:t>contexto-obra</w:t>
      </w:r>
      <w:r w:rsidRPr="00F33FD6">
        <w:t>,</w:t>
      </w:r>
      <w:r w:rsidR="00AB1675" w:rsidRPr="00F33FD6">
        <w:t xml:space="preserve"> </w:t>
      </w:r>
      <w:r w:rsidRPr="00F33FD6">
        <w:t xml:space="preserve"> </w:t>
      </w:r>
      <w:r w:rsidR="00582505" w:rsidRPr="00F33FD6">
        <w:t xml:space="preserve">la teoría </w:t>
      </w:r>
      <w:r w:rsidRPr="00F33FD6">
        <w:t xml:space="preserve">puro-visibilista </w:t>
      </w:r>
      <w:r w:rsidR="00AB1675" w:rsidRPr="00F33FD6">
        <w:t xml:space="preserve">se </w:t>
      </w:r>
      <w:r w:rsidR="00B10772" w:rsidRPr="00F33FD6">
        <w:t xml:space="preserve">enfoca </w:t>
      </w:r>
      <w:r w:rsidR="00AB1675" w:rsidRPr="00F33FD6">
        <w:t xml:space="preserve">solo en la forma </w:t>
      </w:r>
      <w:r w:rsidR="00AE1C19" w:rsidRPr="00F33FD6">
        <w:t>entre los múltiples fenómenos del arte.</w:t>
      </w:r>
      <w:r w:rsidR="004C6299" w:rsidRPr="00F33FD6">
        <w:t xml:space="preserve"> </w:t>
      </w:r>
    </w:p>
    <w:p w:rsidR="00530C4E" w:rsidRPr="00F33FD6" w:rsidRDefault="00607A7F" w:rsidP="00530C4E">
      <w:r w:rsidRPr="00F33FD6">
        <w:t>La enumeración de una selección de tendencias de la historia del arte es</w:t>
      </w:r>
      <w:r w:rsidR="00530C4E" w:rsidRPr="00F33FD6">
        <w:t xml:space="preserve"> demostraci</w:t>
      </w:r>
      <w:r w:rsidRPr="00F33FD6">
        <w:t>ón</w:t>
      </w:r>
      <w:r w:rsidR="00530C4E" w:rsidRPr="00F33FD6">
        <w:t xml:space="preserve"> de</w:t>
      </w:r>
      <w:r w:rsidRPr="00F33FD6">
        <w:t xml:space="preserve">l </w:t>
      </w:r>
      <w:r w:rsidR="00530C4E" w:rsidRPr="00F33FD6">
        <w:t xml:space="preserve"> desarrollo </w:t>
      </w:r>
      <w:r w:rsidRPr="00F33FD6">
        <w:t xml:space="preserve">científico y </w:t>
      </w:r>
      <w:r w:rsidR="00530C4E" w:rsidRPr="00F33FD6">
        <w:t>especializado del campo</w:t>
      </w:r>
      <w:r w:rsidRPr="00F33FD6">
        <w:t xml:space="preserve">. </w:t>
      </w:r>
      <w:r w:rsidR="00530C4E" w:rsidRPr="00F33FD6">
        <w:t>La reflexión sobre sus categorías conceptuales y procedimentales, su naturaleza y objeto de estudio son temas de debate hasta el presente.</w:t>
      </w:r>
    </w:p>
    <w:p w:rsidR="00530C4E" w:rsidRPr="00F33FD6" w:rsidRDefault="00530C4E" w:rsidP="00530C4E">
      <w:r w:rsidRPr="00F33FD6">
        <w:t xml:space="preserve">En </w:t>
      </w:r>
      <w:r w:rsidR="00607A7F" w:rsidRPr="00F33FD6">
        <w:t xml:space="preserve">las </w:t>
      </w:r>
      <w:r w:rsidRPr="00F33FD6">
        <w:t xml:space="preserve">concepciones </w:t>
      </w:r>
      <w:r w:rsidR="00607A7F" w:rsidRPr="00F33FD6">
        <w:t xml:space="preserve">mencionadas </w:t>
      </w:r>
      <w:r w:rsidRPr="00F33FD6">
        <w:t>se pueden observar ciertos condicionamientos culturales en común: la valoración del arte clásico antiguo y renacentista como modelo ahistórico y normativo, la idea de progreso con representaciones del tiempo signadas por formas lineales -segmentos o espirales- entre otros parámetros.  Estos paradigmas gravitaron en la convergencia teórica y metodológica de un universo de investigación constituido fundamentalmente por el arte clásico</w:t>
      </w:r>
      <w:r w:rsidR="009E6181" w:rsidRPr="00F33FD6">
        <w:t>, antiguo y moderno.</w:t>
      </w:r>
      <w:r w:rsidRPr="00F33FD6">
        <w:t xml:space="preserve"> La perspectiva eurocentrista impregnó las interpretaciones, los relatos y las valoraciones incluso de culturas históricas o contemporáneas </w:t>
      </w:r>
      <w:r w:rsidR="007844A2" w:rsidRPr="00F33FD6">
        <w:t xml:space="preserve">no occidentales </w:t>
      </w:r>
      <w:r w:rsidRPr="00F33FD6">
        <w:t>y sus manifestaciones plásticas.</w:t>
      </w:r>
    </w:p>
    <w:p w:rsidR="00530C4E" w:rsidRPr="00F33FD6" w:rsidRDefault="00530C4E" w:rsidP="00530C4E">
      <w:r w:rsidRPr="00F33FD6">
        <w:t xml:space="preserve">Innovaciones teóricas y metodológicas, como el formalismo y la iconología, por ejemplo, se produjeron en torno al mismo universo de investigación. Sin embargo, simultáneamente, desde las prácticas artísticas de las vanguardias como de disciplinas cercanas (auxiliares) a la historia del arte, como las arqueologías prehistórica e histórica, la </w:t>
      </w:r>
      <w:r w:rsidR="00434B90" w:rsidRPr="00F33FD6">
        <w:t>antropología (</w:t>
      </w:r>
      <w:r w:rsidRPr="00F33FD6">
        <w:t>etnología</w:t>
      </w:r>
      <w:r w:rsidR="00434B90" w:rsidRPr="00F33FD6">
        <w:t>)</w:t>
      </w:r>
      <w:r w:rsidRPr="00F33FD6">
        <w:t>, la sociología, llegan importantes aperturas de la comprensión y de la empatía sensible hacia formas artísticas de culturas alejadas en tiempo y en espacio (Asia, América, África, Australia) Los descubrimientos sobre el terreno producen una considerable ampliación temporal del pasado, un nuevo estado del conocimiento, la expansión de sus horizontes y de la conciencia histórica del hombre. En el marco de la especialización de la historia del arte produce el auge de la disciplina que pronto desemboca en la búsqueda de nuevas síntesis que van más allá de la perspectiva culturalista integradora, inéditas categorías y criterios para enfrentar universos artísticos divergentes con respecto a la tradición occidental eurocéntrica.</w:t>
      </w:r>
    </w:p>
    <w:p w:rsidR="002F4D63" w:rsidRPr="00F33FD6" w:rsidRDefault="00530C4E" w:rsidP="00530C4E">
      <w:r w:rsidRPr="00F33FD6">
        <w:t xml:space="preserve">Las búsquedas recientes se orientan en un sentido transdisciplinario, con atención a nuevas teorías y epistemologías en desarrollo, en los vínculos con otras ciencias, en la ruptura de la clausura de sentido del pasado. </w:t>
      </w:r>
      <w:r w:rsidR="00434B90" w:rsidRPr="00F33FD6">
        <w:t xml:space="preserve">Provisoriamente podría afirmarse que estamos ante un cambio de dimensión epistemológica, desde </w:t>
      </w:r>
      <w:r w:rsidR="00DC468D" w:rsidRPr="00F33FD6">
        <w:t xml:space="preserve">la </w:t>
      </w:r>
      <w:r w:rsidR="00434B90" w:rsidRPr="00F33FD6">
        <w:t xml:space="preserve">“especialidad científica” de una disciplina cerrada en sí misma  hacia el </w:t>
      </w:r>
      <w:r w:rsidRPr="00F33FD6">
        <w:t xml:space="preserve"> </w:t>
      </w:r>
      <w:r w:rsidR="00434B90" w:rsidRPr="00F33FD6">
        <w:t xml:space="preserve">cruce </w:t>
      </w:r>
      <w:r w:rsidR="00435B48" w:rsidRPr="00F33FD6">
        <w:t xml:space="preserve">e interacción con campos </w:t>
      </w:r>
      <w:r w:rsidR="00435B48" w:rsidRPr="00F33FD6">
        <w:lastRenderedPageBreak/>
        <w:t xml:space="preserve">del conocimiento anteriormente </w:t>
      </w:r>
      <w:r w:rsidR="006742F7" w:rsidRPr="00F33FD6">
        <w:t xml:space="preserve">impensable por la </w:t>
      </w:r>
      <w:r w:rsidR="00435B48" w:rsidRPr="00F33FD6">
        <w:t>separa</w:t>
      </w:r>
      <w:r w:rsidR="006742F7" w:rsidRPr="00F33FD6">
        <w:t>ción rígida</w:t>
      </w:r>
      <w:r w:rsidR="00435B48" w:rsidRPr="00F33FD6">
        <w:t xml:space="preserve"> </w:t>
      </w:r>
      <w:r w:rsidR="006742F7" w:rsidRPr="00F33FD6">
        <w:t xml:space="preserve">establecida </w:t>
      </w:r>
      <w:r w:rsidR="00435B48" w:rsidRPr="00F33FD6">
        <w:t>por la t</w:t>
      </w:r>
      <w:r w:rsidR="00DC468D" w:rsidRPr="00F33FD6">
        <w:t xml:space="preserve">axonomía clásica de las ciencias. </w:t>
      </w:r>
      <w:r w:rsidR="00435B48" w:rsidRPr="00F33FD6">
        <w:t xml:space="preserve"> </w:t>
      </w:r>
      <w:r w:rsidR="006742F7" w:rsidRPr="00F33FD6">
        <w:t xml:space="preserve">Se trata de una transformación de las </w:t>
      </w:r>
      <w:r w:rsidR="00434B90" w:rsidRPr="00F33FD6">
        <w:t xml:space="preserve"> perspectivas de investigación y del objeto de estudio, tanto </w:t>
      </w:r>
      <w:r w:rsidR="006742F7" w:rsidRPr="00F33FD6">
        <w:t>de</w:t>
      </w:r>
      <w:r w:rsidR="00434B90" w:rsidRPr="00F33FD6">
        <w:t xml:space="preserve"> la historia del arte fáctica como </w:t>
      </w:r>
      <w:r w:rsidR="006742F7" w:rsidRPr="00F33FD6">
        <w:t xml:space="preserve">de </w:t>
      </w:r>
      <w:r w:rsidR="00434B90" w:rsidRPr="00F33FD6">
        <w:t xml:space="preserve">su historiografía y crítica.  </w:t>
      </w:r>
    </w:p>
    <w:p w:rsidR="00530C4E" w:rsidRPr="00F33FD6" w:rsidRDefault="00530C4E" w:rsidP="00530C4E">
      <w:r w:rsidRPr="00F33FD6">
        <w:t xml:space="preserve">La historia </w:t>
      </w:r>
      <w:r w:rsidR="00CF10ED" w:rsidRPr="00F33FD6">
        <w:t xml:space="preserve">siempre </w:t>
      </w:r>
      <w:r w:rsidRPr="00F33FD6">
        <w:t>es presente pues es inteligibilidad en acto (aunque se concentre en el pasado</w:t>
      </w:r>
      <w:r w:rsidR="00CF10ED" w:rsidRPr="00F33FD6">
        <w:t xml:space="preserve"> pues lo recrea desde motivaciones actuales</w:t>
      </w:r>
      <w:r w:rsidRPr="00F33FD6">
        <w:t>) y también puede ser proyectiva</w:t>
      </w:r>
      <w:r w:rsidR="00CF10ED" w:rsidRPr="00F33FD6">
        <w:t xml:space="preserve">, </w:t>
      </w:r>
      <w:r w:rsidRPr="00F33FD6">
        <w:t>influida por los tratamientos seriales y cuantitativos de grandes masas de datos con tecnologías de la información</w:t>
      </w:r>
      <w:r w:rsidR="00CF10ED" w:rsidRPr="00F33FD6">
        <w:t xml:space="preserve">. </w:t>
      </w:r>
      <w:r w:rsidR="006742F7" w:rsidRPr="00F33FD6">
        <w:t xml:space="preserve"> E</w:t>
      </w:r>
      <w:r w:rsidR="00CF10ED" w:rsidRPr="00F33FD6">
        <w:t>n ambos casos las conclusiones son hipótesis en revisión</w:t>
      </w:r>
      <w:r w:rsidR="006742F7" w:rsidRPr="00F33FD6">
        <w:t xml:space="preserve"> permanente</w:t>
      </w:r>
      <w:r w:rsidR="00CF10ED" w:rsidRPr="00F33FD6">
        <w:t>.</w:t>
      </w:r>
    </w:p>
    <w:p w:rsidR="00530C4E" w:rsidRPr="00F33FD6" w:rsidRDefault="00530C4E" w:rsidP="00530C4E">
      <w:r w:rsidRPr="00F33FD6">
        <w:t>El entorno visual y sonoro de las sociedades actuales, su dinamismo cambiante</w:t>
      </w:r>
      <w:r w:rsidR="00585AF8" w:rsidRPr="00F33FD6">
        <w:t xml:space="preserve"> no sólo en las ciudades sino en los diferentes paisajes de origen antrópico</w:t>
      </w:r>
      <w:r w:rsidRPr="00F33FD6">
        <w:t xml:space="preserve">, </w:t>
      </w:r>
      <w:r w:rsidR="0046719A" w:rsidRPr="00F33FD6">
        <w:t xml:space="preserve">incluida la virtualidad, </w:t>
      </w:r>
      <w:r w:rsidRPr="00F33FD6">
        <w:t xml:space="preserve">compite con la, hasta ahora, principal fuente de la historia del arte tradicional: la obra en su contexto.  El objeto de estudio se hace más amplio </w:t>
      </w:r>
      <w:r w:rsidR="0046719A" w:rsidRPr="00F33FD6">
        <w:t xml:space="preserve">y dinámico </w:t>
      </w:r>
      <w:r w:rsidRPr="00F33FD6">
        <w:t>con afirmaciones como: “el discurso histórico no concuerda con la realidad, lo único que hace es significarla</w:t>
      </w:r>
      <w:r w:rsidR="009473BF" w:rsidRPr="00F33FD6">
        <w:t>”</w:t>
      </w:r>
      <w:r w:rsidR="009473BF" w:rsidRPr="00F33FD6">
        <w:rPr>
          <w:rStyle w:val="Refdenotaalpie"/>
        </w:rPr>
        <w:footnoteReference w:id="3"/>
      </w:r>
      <w:r w:rsidRPr="00F33FD6">
        <w:t xml:space="preserve"> se perfila, en la perspectiva historiográfica de algunos autores una especie de crítica de la cultura visual de las sociedades históricas, pasadas</w:t>
      </w:r>
      <w:r w:rsidR="00585AF8" w:rsidRPr="00F33FD6">
        <w:t>,</w:t>
      </w:r>
      <w:r w:rsidRPr="00F33FD6">
        <w:t xml:space="preserve"> presentes y con pretensi</w:t>
      </w:r>
      <w:r w:rsidR="00585AF8" w:rsidRPr="00F33FD6">
        <w:t xml:space="preserve">ones de futuro. </w:t>
      </w:r>
      <w:r w:rsidRPr="00F33FD6">
        <w:t xml:space="preserve"> </w:t>
      </w:r>
      <w:r w:rsidR="00585AF8" w:rsidRPr="00F33FD6">
        <w:t>O</w:t>
      </w:r>
      <w:r w:rsidRPr="00F33FD6">
        <w:t>bjetos, artefactos, dispositivos e imágenes del “háb</w:t>
      </w:r>
      <w:r w:rsidR="009A1AF5" w:rsidRPr="00F33FD6">
        <w:t>itat” visivo de la sociedad que</w:t>
      </w:r>
      <w:r w:rsidRPr="00F33FD6">
        <w:t xml:space="preserve"> no responden a los géneros tradicionales, son objeto de reflexió</w:t>
      </w:r>
      <w:r w:rsidR="00E800D3" w:rsidRPr="00F33FD6">
        <w:t>n de los Estudios Culturales, l</w:t>
      </w:r>
      <w:r w:rsidRPr="00F33FD6">
        <w:t xml:space="preserve">a Historia de las </w:t>
      </w:r>
      <w:r w:rsidR="00435B48" w:rsidRPr="00F33FD6">
        <w:t>Imágenes,</w:t>
      </w:r>
      <w:r w:rsidRPr="00F33FD6">
        <w:t xml:space="preserve"> el Análisis Crítico del Discurso, </w:t>
      </w:r>
      <w:r w:rsidR="009A1AF5" w:rsidRPr="00F33FD6">
        <w:t>(</w:t>
      </w:r>
      <w:r w:rsidRPr="00F33FD6">
        <w:t>el Feminismo</w:t>
      </w:r>
      <w:r w:rsidR="009A1AF5" w:rsidRPr="00F33FD6">
        <w:t>) los estudios de géneros</w:t>
      </w:r>
      <w:r w:rsidRPr="00F33FD6">
        <w:t>, el Poscolonialismo y el Pensamiento Decolonial, abren perspectiva</w:t>
      </w:r>
      <w:r w:rsidR="00E800D3" w:rsidRPr="00F33FD6">
        <w:t>s</w:t>
      </w:r>
      <w:r w:rsidRPr="00F33FD6">
        <w:t xml:space="preserve"> a nuevas interpretaciones del arte, de la historia y por supuesto de la historiografía de la historia del arte.</w:t>
      </w:r>
    </w:p>
    <w:p w:rsidR="009473BF" w:rsidRPr="00F33FD6" w:rsidRDefault="00530C4E" w:rsidP="009E78AB">
      <w:pPr>
        <w:spacing w:after="0"/>
      </w:pPr>
      <w:r w:rsidRPr="00F33FD6">
        <w:t xml:space="preserve">“Más que legitimar un canon preestablecido de artistas y obras según un principio de objetividad, yo argumento que los historiadores deberían seguir su propio programa y articular sus propios motivos para involucrarse en el proceso de encontrar significado cultural al arte del pasado. Más que considerar la materia de la historia del arte como algo fijo e inmutable, los estudiosos tienen ahora la oportunidad de definir cuál sería esa materia. Al hacerlo podrán exponer, en lugar de ocultar, los temas culturales que los preocupan. […] Los códigos y convenciones culturales que sirven para definir una identidad particular también hacen posible que partícipe en la vida social. El rol activo de la historia </w:t>
      </w:r>
      <w:r w:rsidRPr="00F33FD6">
        <w:lastRenderedPageBreak/>
        <w:t>en la creación y la transformación de la cultura sólo puede ser entendido porque su materia está constituida por y es constituyente d</w:t>
      </w:r>
      <w:r w:rsidR="00E800D3" w:rsidRPr="00F33FD6">
        <w:t>e</w:t>
      </w:r>
    </w:p>
    <w:p w:rsidR="00530C4E" w:rsidRPr="00F33FD6" w:rsidRDefault="00530C4E" w:rsidP="00530C4E">
      <w:r w:rsidRPr="00F33FD6">
        <w:t>las circunstancias en las que el historiador o historiadora existen. […] La determinación psicológica e ideológica no puede evitar que un autor o autora dote a sus relatos históricos de una persuasión política que se ocupe de los acuciantes temas sociales y culturales de su época.”</w:t>
      </w:r>
      <w:r w:rsidR="009E78AB" w:rsidRPr="00F33FD6">
        <w:rPr>
          <w:rStyle w:val="Refdenotaalpie"/>
        </w:rPr>
        <w:footnoteReference w:id="4"/>
      </w:r>
    </w:p>
    <w:p w:rsidR="00530C4E" w:rsidRPr="00F33FD6" w:rsidRDefault="00530C4E" w:rsidP="00530C4E">
      <w:r w:rsidRPr="00F33FD6">
        <w:t>Aunque, en los últimos tiempos, hemos asistido a una transformación, en el sentido aquí descrito, de parte de la disciplina historiográfica en el territorio del arte, lo que incluye las instituciones museísticas</w:t>
      </w:r>
      <w:r w:rsidR="00DF7FD7" w:rsidRPr="00F33FD6">
        <w:t xml:space="preserve">, </w:t>
      </w:r>
      <w:r w:rsidR="00764886" w:rsidRPr="00F33FD6">
        <w:t>educat</w:t>
      </w:r>
      <w:r w:rsidR="00DF7FD7" w:rsidRPr="00F33FD6">
        <w:t>ivas</w:t>
      </w:r>
      <w:r w:rsidRPr="00F33FD6">
        <w:t xml:space="preserve"> y expositivas asociadas, hay que insistir en la necesidad de construir formas otras de tratarse con lo histórico si, como decía Friedrich Nietzsche en su Segunda consideración intempestiva, se pretende la definición de una historia útil para la vida.</w:t>
      </w:r>
      <w:r w:rsidR="001C5108" w:rsidRPr="00F33FD6">
        <w:rPr>
          <w:rStyle w:val="Refdenotaalpie"/>
        </w:rPr>
        <w:footnoteReference w:id="5"/>
      </w:r>
    </w:p>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530C4E" w:rsidRPr="00F33FD6" w:rsidRDefault="00530C4E" w:rsidP="00530C4E"/>
    <w:p w:rsidR="00B70CB1" w:rsidRPr="00F33FD6" w:rsidRDefault="00B70CB1" w:rsidP="00530C4E"/>
    <w:sectPr w:rsidR="00B70CB1" w:rsidRPr="00F33FD6" w:rsidSect="00530C4E">
      <w:headerReference w:type="default" r:id="rId7"/>
      <w:pgSz w:w="12240" w:h="15840"/>
      <w:pgMar w:top="1440" w:right="2880" w:bottom="1440" w:left="28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102" w:rsidRDefault="002F0102" w:rsidP="00530C4E">
      <w:pPr>
        <w:spacing w:after="0" w:line="240" w:lineRule="auto"/>
      </w:pPr>
      <w:r>
        <w:separator/>
      </w:r>
    </w:p>
  </w:endnote>
  <w:endnote w:type="continuationSeparator" w:id="1">
    <w:p w:rsidR="002F0102" w:rsidRDefault="002F0102" w:rsidP="00530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102" w:rsidRDefault="002F0102" w:rsidP="00530C4E">
      <w:pPr>
        <w:spacing w:after="0" w:line="240" w:lineRule="auto"/>
      </w:pPr>
      <w:r>
        <w:separator/>
      </w:r>
    </w:p>
  </w:footnote>
  <w:footnote w:type="continuationSeparator" w:id="1">
    <w:p w:rsidR="002F0102" w:rsidRDefault="002F0102" w:rsidP="00530C4E">
      <w:pPr>
        <w:spacing w:after="0" w:line="240" w:lineRule="auto"/>
      </w:pPr>
      <w:r>
        <w:continuationSeparator/>
      </w:r>
    </w:p>
  </w:footnote>
  <w:footnote w:id="2">
    <w:p w:rsidR="00530C4E" w:rsidRDefault="00530C4E">
      <w:pPr>
        <w:pStyle w:val="Textonotapie"/>
      </w:pPr>
      <w:r>
        <w:rPr>
          <w:rStyle w:val="Refdenotaalpie"/>
        </w:rPr>
        <w:footnoteRef/>
      </w:r>
      <w:r>
        <w:t xml:space="preserve"> </w:t>
      </w:r>
      <w:r w:rsidRPr="00530C4E">
        <w:t>Objeto: todo lo que puede ser materia de conocimiento o sensibilidad de parte del sujeto, incluso este mismo.</w:t>
      </w:r>
    </w:p>
  </w:footnote>
  <w:footnote w:id="3">
    <w:p w:rsidR="009473BF" w:rsidRDefault="009473BF">
      <w:pPr>
        <w:pStyle w:val="Textonotapie"/>
      </w:pPr>
      <w:r>
        <w:rPr>
          <w:rStyle w:val="Refdenotaalpie"/>
        </w:rPr>
        <w:footnoteRef/>
      </w:r>
      <w:r>
        <w:t xml:space="preserve"> </w:t>
      </w:r>
      <w:r w:rsidRPr="009473BF">
        <w:t>BARTHES, R. (1987) “El susurro del lenguaje. Más allá de la palabra y la escritura”, Paidós, Barcelona, pp. 175-176</w:t>
      </w:r>
    </w:p>
  </w:footnote>
  <w:footnote w:id="4">
    <w:p w:rsidR="009E78AB" w:rsidRDefault="009E78AB">
      <w:pPr>
        <w:pStyle w:val="Textonotapie"/>
      </w:pPr>
      <w:r>
        <w:rPr>
          <w:rStyle w:val="Refdenotaalpie"/>
        </w:rPr>
        <w:footnoteRef/>
      </w:r>
      <w:r>
        <w:t xml:space="preserve"> </w:t>
      </w:r>
      <w:r w:rsidR="00FF56CF" w:rsidRPr="00FF56CF">
        <w:t>3 MOXEY, K. (2004) “Teoría, práctica y persuasión. Estudios sobre historia del arte”, Ediciones del Serbal, Barcelona, pp. 89-90.</w:t>
      </w:r>
    </w:p>
  </w:footnote>
  <w:footnote w:id="5">
    <w:p w:rsidR="001C5108" w:rsidRDefault="001C5108">
      <w:pPr>
        <w:pStyle w:val="Textonotapie"/>
      </w:pPr>
      <w:r>
        <w:rPr>
          <w:rStyle w:val="Refdenotaalpie"/>
        </w:rPr>
        <w:footnoteRef/>
      </w:r>
      <w:r>
        <w:t xml:space="preserve"> </w:t>
      </w:r>
      <w:r w:rsidRPr="001C5108">
        <w:t xml:space="preserve">4 Villegas, D. (Octubre, 2017) “La historiografía del arte en el ámbito del concepto moderno de historia. De su orientación ideológica y la articulación de otras historias posibles” recuperado de: </w:t>
      </w:r>
      <w:hyperlink r:id="rId1" w:history="1">
        <w:r w:rsidR="00C6463A" w:rsidRPr="00796177">
          <w:rPr>
            <w:rStyle w:val="Hipervnculo"/>
          </w:rPr>
          <w:t>http://barahunda.net/la-historiografia-del-arte-en-el-ambito-del-concepto-moderno-de-historia-de-su- orientacion-ideologica-y-la-articulacion-de-otras-historias-posibles-daniel-villegas/</w:t>
        </w:r>
      </w:hyperlink>
    </w:p>
    <w:p w:rsidR="00C6463A" w:rsidRDefault="00C6463A">
      <w:pPr>
        <w:pStyle w:val="Textonotapie"/>
      </w:pPr>
      <w:r>
        <w:t>Nietszche, F. W. (2006) Segunda consideración intempestiva. Buenos Aires, Zorzal, p.10 y 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6024"/>
      <w:docPartObj>
        <w:docPartGallery w:val="Page Numbers (Top of Page)"/>
        <w:docPartUnique/>
      </w:docPartObj>
    </w:sdtPr>
    <w:sdtContent>
      <w:p w:rsidR="00021262" w:rsidRDefault="00A001F1">
        <w:pPr>
          <w:pStyle w:val="Encabezado"/>
          <w:jc w:val="right"/>
        </w:pPr>
        <w:fldSimple w:instr=" PAGE   \* MERGEFORMAT ">
          <w:r w:rsidR="002F0102">
            <w:rPr>
              <w:noProof/>
            </w:rPr>
            <w:t>1</w:t>
          </w:r>
        </w:fldSimple>
      </w:p>
    </w:sdtContent>
  </w:sdt>
  <w:p w:rsidR="00021262" w:rsidRDefault="0002126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savePreviewPicture/>
  <w:hdrShapeDefaults>
    <o:shapedefaults v:ext="edit" spidmax="6146"/>
  </w:hdrShapeDefaults>
  <w:footnotePr>
    <w:footnote w:id="0"/>
    <w:footnote w:id="1"/>
  </w:footnotePr>
  <w:endnotePr>
    <w:endnote w:id="0"/>
    <w:endnote w:id="1"/>
  </w:endnotePr>
  <w:compat>
    <w:useFELayout/>
  </w:compat>
  <w:rsids>
    <w:rsidRoot w:val="00530C4E"/>
    <w:rsid w:val="00021262"/>
    <w:rsid w:val="000562B3"/>
    <w:rsid w:val="00080391"/>
    <w:rsid w:val="001C5108"/>
    <w:rsid w:val="002F0102"/>
    <w:rsid w:val="002F4D63"/>
    <w:rsid w:val="00434B90"/>
    <w:rsid w:val="00435B48"/>
    <w:rsid w:val="0046719A"/>
    <w:rsid w:val="004C6299"/>
    <w:rsid w:val="00530C4E"/>
    <w:rsid w:val="00582505"/>
    <w:rsid w:val="00585AF8"/>
    <w:rsid w:val="00607A7F"/>
    <w:rsid w:val="00626714"/>
    <w:rsid w:val="00662875"/>
    <w:rsid w:val="006742F7"/>
    <w:rsid w:val="00764886"/>
    <w:rsid w:val="007844A2"/>
    <w:rsid w:val="008B46FE"/>
    <w:rsid w:val="009473BF"/>
    <w:rsid w:val="009A1AF5"/>
    <w:rsid w:val="009E6181"/>
    <w:rsid w:val="009E78AB"/>
    <w:rsid w:val="00A001F1"/>
    <w:rsid w:val="00AB1675"/>
    <w:rsid w:val="00AE1C19"/>
    <w:rsid w:val="00B10772"/>
    <w:rsid w:val="00B70CB1"/>
    <w:rsid w:val="00B86A21"/>
    <w:rsid w:val="00C6463A"/>
    <w:rsid w:val="00CF10ED"/>
    <w:rsid w:val="00D102E1"/>
    <w:rsid w:val="00DC468D"/>
    <w:rsid w:val="00DF7FD7"/>
    <w:rsid w:val="00E800D3"/>
    <w:rsid w:val="00F33FD6"/>
    <w:rsid w:val="00F74039"/>
    <w:rsid w:val="00F76608"/>
    <w:rsid w:val="00FA1A53"/>
    <w:rsid w:val="00FF56C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530C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30C4E"/>
    <w:rPr>
      <w:sz w:val="20"/>
      <w:szCs w:val="20"/>
    </w:rPr>
  </w:style>
  <w:style w:type="character" w:styleId="Refdenotaalfinal">
    <w:name w:val="endnote reference"/>
    <w:basedOn w:val="Fuentedeprrafopredeter"/>
    <w:uiPriority w:val="99"/>
    <w:semiHidden/>
    <w:unhideWhenUsed/>
    <w:rsid w:val="00530C4E"/>
    <w:rPr>
      <w:vertAlign w:val="superscript"/>
    </w:rPr>
  </w:style>
  <w:style w:type="paragraph" w:styleId="Textonotapie">
    <w:name w:val="footnote text"/>
    <w:basedOn w:val="Normal"/>
    <w:link w:val="TextonotapieCar"/>
    <w:uiPriority w:val="99"/>
    <w:semiHidden/>
    <w:unhideWhenUsed/>
    <w:rsid w:val="00530C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30C4E"/>
    <w:rPr>
      <w:sz w:val="20"/>
      <w:szCs w:val="20"/>
    </w:rPr>
  </w:style>
  <w:style w:type="character" w:styleId="Refdenotaalpie">
    <w:name w:val="footnote reference"/>
    <w:basedOn w:val="Fuentedeprrafopredeter"/>
    <w:uiPriority w:val="99"/>
    <w:semiHidden/>
    <w:unhideWhenUsed/>
    <w:rsid w:val="00530C4E"/>
    <w:rPr>
      <w:vertAlign w:val="superscript"/>
    </w:rPr>
  </w:style>
  <w:style w:type="paragraph" w:styleId="Textodeglobo">
    <w:name w:val="Balloon Text"/>
    <w:basedOn w:val="Normal"/>
    <w:link w:val="TextodegloboCar"/>
    <w:uiPriority w:val="99"/>
    <w:semiHidden/>
    <w:unhideWhenUsed/>
    <w:rsid w:val="009473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3BF"/>
    <w:rPr>
      <w:rFonts w:ascii="Tahoma" w:hAnsi="Tahoma" w:cs="Tahoma"/>
      <w:sz w:val="16"/>
      <w:szCs w:val="16"/>
    </w:rPr>
  </w:style>
  <w:style w:type="character" w:styleId="Hipervnculo">
    <w:name w:val="Hyperlink"/>
    <w:basedOn w:val="Fuentedeprrafopredeter"/>
    <w:uiPriority w:val="99"/>
    <w:unhideWhenUsed/>
    <w:rsid w:val="00C6463A"/>
    <w:rPr>
      <w:color w:val="0000FF" w:themeColor="hyperlink"/>
      <w:u w:val="single"/>
    </w:rPr>
  </w:style>
  <w:style w:type="paragraph" w:styleId="Encabezado">
    <w:name w:val="header"/>
    <w:basedOn w:val="Normal"/>
    <w:link w:val="EncabezadoCar"/>
    <w:uiPriority w:val="99"/>
    <w:unhideWhenUsed/>
    <w:rsid w:val="000212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1262"/>
  </w:style>
  <w:style w:type="paragraph" w:styleId="Piedepgina">
    <w:name w:val="footer"/>
    <w:basedOn w:val="Normal"/>
    <w:link w:val="PiedepginaCar"/>
    <w:uiPriority w:val="99"/>
    <w:semiHidden/>
    <w:unhideWhenUsed/>
    <w:rsid w:val="000212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212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arahunda.net/la-historiografia-del-arte-en-el-ambito-del-concepto-moderno-de-historia-de-su-%20orientacion-ideologica-y-la-articulacion-de-otras-historias-posibles-daniel-ville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MarcadorDePosición2</b:Tag>
    <b:SourceType>Book</b:SourceType>
    <b:Guid>{15FCD53A-892C-46E7-BA61-E4D065D95902}</b:Guid>
    <b:LCID>0</b:LCID>
    <b:RefOrder>2</b:RefOrder>
  </b:Source>
  <b:Source>
    <b:Tag>bAR</b:Tag>
    <b:SourceType>Book</b:SourceType>
    <b:Guid>{C5D391AA-5A25-4028-AF7A-BE93B57726EE}</b:Guid>
    <b:LCID>0</b:LCID>
    <b:Author>
      <b:Author>
        <b:NameList>
          <b:Person>
            <b:Last>bARTHES</b:Last>
          </b:Person>
        </b:NameList>
      </b:Author>
    </b:Author>
    <b:RefOrder>1</b:RefOrder>
  </b:Source>
</b:Sources>
</file>

<file path=customXml/itemProps1.xml><?xml version="1.0" encoding="utf-8"?>
<ds:datastoreItem xmlns:ds="http://schemas.openxmlformats.org/officeDocument/2006/customXml" ds:itemID="{CC1E360B-0EA6-463C-8CAE-5046F110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1222</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35</cp:revision>
  <dcterms:created xsi:type="dcterms:W3CDTF">2020-04-09T04:32:00Z</dcterms:created>
  <dcterms:modified xsi:type="dcterms:W3CDTF">2020-04-09T22:06:00Z</dcterms:modified>
</cp:coreProperties>
</file>