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DF89D" w14:textId="54C8307E" w:rsidR="00B3659A" w:rsidRDefault="00B3659A"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Pr>
          <w:rFonts w:ascii="Times New Roman" w:eastAsia="Times New Roman" w:hAnsi="Times New Roman" w:cs="Times New Roman"/>
          <w:color w:val="000000"/>
          <w:sz w:val="27"/>
          <w:szCs w:val="27"/>
          <w:lang w:eastAsia="es-AR"/>
        </w:rPr>
        <w:t>EXTRACTO SOBRE MEYERHOLD</w:t>
      </w:r>
    </w:p>
    <w:p w14:paraId="5CFA8BDD" w14:textId="23ED7C80" w:rsidR="0072588B" w:rsidRDefault="00A749C9"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Pr>
          <w:rFonts w:ascii="Times New Roman" w:eastAsia="Times New Roman" w:hAnsi="Times New Roman" w:cs="Times New Roman"/>
          <w:color w:val="000000"/>
          <w:sz w:val="27"/>
          <w:szCs w:val="27"/>
          <w:lang w:eastAsia="es-AR"/>
        </w:rPr>
        <w:t xml:space="preserve">EXTRACTO DEL ARTICULO </w:t>
      </w:r>
      <w:r w:rsidRPr="00A749C9">
        <w:rPr>
          <w:rFonts w:ascii="Times New Roman" w:eastAsia="Times New Roman" w:hAnsi="Times New Roman" w:cs="Times New Roman"/>
          <w:i/>
          <w:iCs/>
          <w:color w:val="000000"/>
          <w:sz w:val="27"/>
          <w:szCs w:val="27"/>
          <w:lang w:eastAsia="es-AR"/>
        </w:rPr>
        <w:t>“</w:t>
      </w:r>
      <w:r w:rsidRPr="00A749C9">
        <w:rPr>
          <w:rFonts w:ascii="Times New Roman" w:eastAsia="Times New Roman" w:hAnsi="Times New Roman" w:cs="Times New Roman"/>
          <w:i/>
          <w:iCs/>
          <w:color w:val="000000"/>
          <w:sz w:val="27"/>
          <w:szCs w:val="27"/>
          <w:lang w:eastAsia="es-AR"/>
        </w:rPr>
        <w:t>Meyerhold, entre la técnica extracotidiana de inculturación y aculturación. Estudio desde la antropología teatral</w:t>
      </w:r>
      <w:bookmarkStart w:id="0" w:name="nota1"/>
      <w:bookmarkEnd w:id="0"/>
      <w:r w:rsidRPr="00A749C9">
        <w:rPr>
          <w:rFonts w:ascii="Times New Roman" w:eastAsia="Times New Roman" w:hAnsi="Times New Roman" w:cs="Times New Roman"/>
          <w:i/>
          <w:iCs/>
          <w:color w:val="000000"/>
          <w:sz w:val="27"/>
          <w:szCs w:val="27"/>
          <w:lang w:eastAsia="es-AR"/>
        </w:rPr>
        <w:t>”</w:t>
      </w:r>
      <w:r>
        <w:rPr>
          <w:rFonts w:ascii="Times New Roman" w:eastAsia="Times New Roman" w:hAnsi="Times New Roman" w:cs="Times New Roman"/>
          <w:color w:val="000000"/>
          <w:sz w:val="27"/>
          <w:szCs w:val="27"/>
          <w:lang w:eastAsia="es-AR"/>
        </w:rPr>
        <w:t xml:space="preserve"> de </w:t>
      </w:r>
      <w:r w:rsidR="0072588B" w:rsidRPr="0072588B">
        <w:rPr>
          <w:rFonts w:ascii="Times New Roman" w:eastAsia="Times New Roman" w:hAnsi="Times New Roman" w:cs="Times New Roman"/>
          <w:color w:val="000000"/>
          <w:sz w:val="27"/>
          <w:szCs w:val="27"/>
          <w:lang w:eastAsia="es-AR"/>
        </w:rPr>
        <w:t>Sergio Naranjo Velásquez** Departamento de Artes Escénicas de la Universidad de Caldas, Manizales, Colombia. </w:t>
      </w:r>
      <w:r w:rsidRPr="0072588B">
        <w:rPr>
          <w:rFonts w:ascii="Times New Roman" w:eastAsia="Times New Roman" w:hAnsi="Times New Roman" w:cs="Times New Roman"/>
          <w:color w:val="000000"/>
          <w:sz w:val="27"/>
          <w:szCs w:val="27"/>
          <w:lang w:eastAsia="es-AR"/>
        </w:rPr>
        <w:t xml:space="preserve"> </w:t>
      </w:r>
    </w:p>
    <w:p w14:paraId="3FEB120F" w14:textId="532DED17" w:rsidR="00B3659A" w:rsidRPr="0072588B" w:rsidRDefault="00B3659A" w:rsidP="00B3659A">
      <w:pPr>
        <w:spacing w:after="0" w:line="240" w:lineRule="auto"/>
        <w:rPr>
          <w:rFonts w:ascii="Times New Roman" w:eastAsia="Times New Roman" w:hAnsi="Times New Roman" w:cs="Times New Roman"/>
          <w:color w:val="000000"/>
          <w:sz w:val="27"/>
          <w:szCs w:val="27"/>
          <w:lang w:eastAsia="es-AR"/>
        </w:rPr>
      </w:pPr>
      <w:r>
        <w:rPr>
          <w:rFonts w:ascii="Times New Roman" w:eastAsia="Times New Roman" w:hAnsi="Times New Roman" w:cs="Times New Roman"/>
          <w:color w:val="000000"/>
          <w:sz w:val="27"/>
          <w:szCs w:val="27"/>
          <w:lang w:eastAsia="es-AR"/>
        </w:rPr>
        <w:t xml:space="preserve">PUBLICADO EN: </w:t>
      </w:r>
      <w:hyperlink r:id="rId5" w:tgtFrame="_blank" w:tooltip="investigacionteatral.uv.mx" w:history="1">
        <w:r w:rsidRPr="0072588B">
          <w:rPr>
            <w:rFonts w:ascii="Times New Roman" w:eastAsia="Times New Roman" w:hAnsi="Times New Roman" w:cs="Times New Roman"/>
            <w:color w:val="0000FF"/>
            <w:sz w:val="27"/>
            <w:szCs w:val="27"/>
            <w:u w:val="single"/>
            <w:lang w:eastAsia="es-AR"/>
          </w:rPr>
          <w:t>investigacionteatral.uv.mx</w:t>
        </w:r>
      </w:hyperlink>
      <w:r>
        <w:rPr>
          <w:rFonts w:ascii="Times New Roman" w:eastAsia="Times New Roman" w:hAnsi="Times New Roman" w:cs="Times New Roman"/>
          <w:color w:val="000000"/>
          <w:sz w:val="27"/>
          <w:szCs w:val="27"/>
          <w:lang w:eastAsia="es-AR"/>
        </w:rPr>
        <w:t xml:space="preserve"> </w:t>
      </w:r>
      <w:r w:rsidRPr="0072588B">
        <w:rPr>
          <w:rFonts w:ascii="Times New Roman" w:eastAsia="Times New Roman" w:hAnsi="Times New Roman" w:cs="Times New Roman"/>
          <w:color w:val="000000"/>
          <w:sz w:val="27"/>
          <w:szCs w:val="27"/>
          <w:lang w:eastAsia="es-AR"/>
        </w:rPr>
        <w:t>Investigación Teatral Vol. 10, Núm. 15, 2019, es una publicación semestral (abril-septiembre 2019) y arbitrada, editada por el Centro de Estudios, Creación y Documentación de las Artes de la Universidad Veracruzana,</w:t>
      </w:r>
    </w:p>
    <w:p w14:paraId="39F3A1A7" w14:textId="5105BFED" w:rsidR="0072588B" w:rsidRPr="00883BD7" w:rsidRDefault="0072588B" w:rsidP="0072588B">
      <w:pPr>
        <w:spacing w:before="100" w:beforeAutospacing="1" w:after="100" w:afterAutospacing="1" w:line="240" w:lineRule="auto"/>
        <w:rPr>
          <w:rFonts w:ascii="Times New Roman" w:eastAsia="Times New Roman" w:hAnsi="Times New Roman" w:cs="Times New Roman"/>
          <w:b/>
          <w:bCs/>
          <w:color w:val="000000"/>
          <w:sz w:val="27"/>
          <w:szCs w:val="27"/>
          <w:lang w:eastAsia="es-AR"/>
        </w:rPr>
      </w:pPr>
      <w:r w:rsidRPr="00883BD7">
        <w:rPr>
          <w:rFonts w:ascii="Times New Roman" w:eastAsia="Times New Roman" w:hAnsi="Times New Roman" w:cs="Times New Roman"/>
          <w:b/>
          <w:bCs/>
          <w:color w:val="000000"/>
          <w:sz w:val="27"/>
          <w:szCs w:val="27"/>
          <w:lang w:eastAsia="es-AR"/>
        </w:rPr>
        <w:t>Vsevolod Meyerhold</w:t>
      </w:r>
    </w:p>
    <w:p w14:paraId="13A25D67" w14:textId="4B5EAE95"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“Si la punta de la nariz trabaja, todo el cuerpo también </w:t>
      </w:r>
      <w:proofErr w:type="spellStart"/>
      <w:r w:rsidRPr="0072588B">
        <w:rPr>
          <w:rFonts w:ascii="Times New Roman" w:eastAsia="Times New Roman" w:hAnsi="Times New Roman" w:cs="Times New Roman"/>
          <w:color w:val="000000"/>
          <w:sz w:val="27"/>
          <w:szCs w:val="27"/>
          <w:lang w:eastAsia="es-AR"/>
        </w:rPr>
        <w:t>trabaja</w:t>
      </w:r>
      <w:proofErr w:type="gramStart"/>
      <w:r w:rsidRPr="0072588B">
        <w:rPr>
          <w:rFonts w:ascii="Times New Roman" w:eastAsia="Times New Roman" w:hAnsi="Times New Roman" w:cs="Times New Roman"/>
          <w:color w:val="000000"/>
          <w:sz w:val="27"/>
          <w:szCs w:val="27"/>
          <w:lang w:eastAsia="es-AR"/>
        </w:rPr>
        <w:t>”.Meyerhold</w:t>
      </w:r>
      <w:proofErr w:type="spellEnd"/>
      <w:proofErr w:type="gramEnd"/>
      <w:r w:rsidRPr="0072588B">
        <w:rPr>
          <w:rFonts w:ascii="Times New Roman" w:eastAsia="Times New Roman" w:hAnsi="Times New Roman" w:cs="Times New Roman"/>
          <w:color w:val="000000"/>
          <w:sz w:val="27"/>
          <w:szCs w:val="27"/>
          <w:lang w:eastAsia="es-AR"/>
        </w:rPr>
        <w:t xml:space="preserve"> (citado en </w:t>
      </w:r>
      <w:proofErr w:type="spellStart"/>
      <w:r w:rsidRPr="0072588B">
        <w:rPr>
          <w:rFonts w:ascii="Times New Roman" w:eastAsia="Times New Roman" w:hAnsi="Times New Roman" w:cs="Times New Roman"/>
          <w:color w:val="000000"/>
          <w:sz w:val="27"/>
          <w:szCs w:val="27"/>
          <w:lang w:eastAsia="es-AR"/>
        </w:rPr>
        <w:t>Law</w:t>
      </w:r>
      <w:proofErr w:type="spellEnd"/>
      <w:r w:rsidRPr="0072588B">
        <w:rPr>
          <w:rFonts w:ascii="Times New Roman" w:eastAsia="Times New Roman" w:hAnsi="Times New Roman" w:cs="Times New Roman"/>
          <w:color w:val="000000"/>
          <w:sz w:val="27"/>
          <w:szCs w:val="27"/>
          <w:lang w:eastAsia="es-AR"/>
        </w:rPr>
        <w:t xml:space="preserve"> y Gordon 135)</w:t>
      </w:r>
    </w:p>
    <w:p w14:paraId="56E5F449"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Vsevolod Meyerhold (1874-1940)</w:t>
      </w:r>
      <w:bookmarkStart w:id="1" w:name="nota2"/>
      <w:bookmarkEnd w:id="1"/>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2</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xml:space="preserve"> fue un actor, director y teórico teatral que impulsó el </w:t>
      </w:r>
      <w:proofErr w:type="spellStart"/>
      <w:r w:rsidRPr="0072588B">
        <w:rPr>
          <w:rFonts w:ascii="Times New Roman" w:eastAsia="Times New Roman" w:hAnsi="Times New Roman" w:cs="Times New Roman"/>
          <w:color w:val="000000"/>
          <w:sz w:val="27"/>
          <w:szCs w:val="27"/>
          <w:lang w:eastAsia="es-AR"/>
        </w:rPr>
        <w:t>antinaturalismo</w:t>
      </w:r>
      <w:proofErr w:type="spellEnd"/>
      <w:r w:rsidRPr="0072588B">
        <w:rPr>
          <w:rFonts w:ascii="Times New Roman" w:eastAsia="Times New Roman" w:hAnsi="Times New Roman" w:cs="Times New Roman"/>
          <w:color w:val="000000"/>
          <w:sz w:val="27"/>
          <w:szCs w:val="27"/>
          <w:lang w:eastAsia="es-AR"/>
        </w:rPr>
        <w:t>, en contraposición al naturalismo que promovía Stanislavski.</w:t>
      </w:r>
      <w:bookmarkStart w:id="2" w:name="nota3"/>
      <w:bookmarkEnd w:id="2"/>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3</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En 1898 había trabajado con él en el Teatro de Arte de Moscú (</w:t>
      </w:r>
      <w:proofErr w:type="spellStart"/>
      <w:r w:rsidRPr="0072588B">
        <w:rPr>
          <w:rFonts w:ascii="Times New Roman" w:eastAsia="Times New Roman" w:hAnsi="Times New Roman" w:cs="Times New Roman"/>
          <w:color w:val="000000"/>
          <w:sz w:val="27"/>
          <w:szCs w:val="27"/>
          <w:lang w:eastAsia="es-AR"/>
        </w:rPr>
        <w:t>tam</w:t>
      </w:r>
      <w:proofErr w:type="spellEnd"/>
      <w:r w:rsidRPr="0072588B">
        <w:rPr>
          <w:rFonts w:ascii="Times New Roman" w:eastAsia="Times New Roman" w:hAnsi="Times New Roman" w:cs="Times New Roman"/>
          <w:color w:val="000000"/>
          <w:sz w:val="27"/>
          <w:szCs w:val="27"/>
          <w:lang w:eastAsia="es-AR"/>
        </w:rPr>
        <w:t xml:space="preserve">), donde conoció de primera mano las investigaciones del método </w:t>
      </w:r>
      <w:proofErr w:type="spellStart"/>
      <w:r w:rsidRPr="0072588B">
        <w:rPr>
          <w:rFonts w:ascii="Times New Roman" w:eastAsia="Times New Roman" w:hAnsi="Times New Roman" w:cs="Times New Roman"/>
          <w:color w:val="000000"/>
          <w:sz w:val="27"/>
          <w:szCs w:val="27"/>
          <w:lang w:eastAsia="es-AR"/>
        </w:rPr>
        <w:t>stanislavskiano</w:t>
      </w:r>
      <w:proofErr w:type="spellEnd"/>
      <w:r w:rsidRPr="0072588B">
        <w:rPr>
          <w:rFonts w:ascii="Times New Roman" w:eastAsia="Times New Roman" w:hAnsi="Times New Roman" w:cs="Times New Roman"/>
          <w:color w:val="000000"/>
          <w:sz w:val="27"/>
          <w:szCs w:val="27"/>
          <w:lang w:eastAsia="es-AR"/>
        </w:rPr>
        <w:t xml:space="preserve"> (en aquel momento transitaban por su primera etapa). Precisamente, su inconformidad con el entrenamiento actoral naturalista y su fuerte atracción por la corriente simbolista lo conducen a abandonar el </w:t>
      </w:r>
      <w:proofErr w:type="spellStart"/>
      <w:r w:rsidRPr="0072588B">
        <w:rPr>
          <w:rFonts w:ascii="Times New Roman" w:eastAsia="Times New Roman" w:hAnsi="Times New Roman" w:cs="Times New Roman"/>
          <w:color w:val="000000"/>
          <w:sz w:val="27"/>
          <w:szCs w:val="27"/>
          <w:lang w:eastAsia="es-AR"/>
        </w:rPr>
        <w:t>tam</w:t>
      </w:r>
      <w:proofErr w:type="spellEnd"/>
      <w:r w:rsidRPr="0072588B">
        <w:rPr>
          <w:rFonts w:ascii="Times New Roman" w:eastAsia="Times New Roman" w:hAnsi="Times New Roman" w:cs="Times New Roman"/>
          <w:color w:val="000000"/>
          <w:sz w:val="27"/>
          <w:szCs w:val="27"/>
          <w:lang w:eastAsia="es-AR"/>
        </w:rPr>
        <w:t xml:space="preserve"> en 1902, decidido a probar nuevos caminos</w:t>
      </w:r>
      <w:bookmarkStart w:id="3" w:name="nota4"/>
      <w:bookmarkEnd w:id="3"/>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4</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xml:space="preserve"> que desembocarían en su propia teoría y el lugar destacado que ésta ha tenido para la historia teatral del siglo </w:t>
      </w:r>
      <w:proofErr w:type="spellStart"/>
      <w:r w:rsidRPr="0072588B">
        <w:rPr>
          <w:rFonts w:ascii="Times New Roman" w:eastAsia="Times New Roman" w:hAnsi="Times New Roman" w:cs="Times New Roman"/>
          <w:color w:val="000000"/>
          <w:sz w:val="27"/>
          <w:szCs w:val="27"/>
          <w:lang w:eastAsia="es-AR"/>
        </w:rPr>
        <w:t>xx</w:t>
      </w:r>
      <w:proofErr w:type="spellEnd"/>
      <w:r w:rsidRPr="0072588B">
        <w:rPr>
          <w:rFonts w:ascii="Times New Roman" w:eastAsia="Times New Roman" w:hAnsi="Times New Roman" w:cs="Times New Roman"/>
          <w:color w:val="000000"/>
          <w:sz w:val="27"/>
          <w:szCs w:val="27"/>
          <w:lang w:eastAsia="es-AR"/>
        </w:rPr>
        <w:t>.</w:t>
      </w:r>
    </w:p>
    <w:p w14:paraId="4ED97361"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Tanto la formación actoral, como la relación con el espectador y el carácter social (tercer teatro), son los principios fundamentales en las teorías de Meyerhold, los cuales pueden encontrar eco en los postulados teórico-metodológicos de la antropología teatral. Eugenio Barba siempre ha destacado el papel que tuvo Meyerhold en la creación de su propia teoría: “A continuación me dirigiré a los muertos, a los libros-fuentes de la ‘ciencia’ del teatro. Sobre mi escritorio están Stanislavski, Meyerhold y Brecht” (Barba, Más allá de las islas 129).</w:t>
      </w:r>
    </w:p>
    <w:p w14:paraId="072C286F"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El “nuevo teatro” o teatro de “convención consciente” –como lo llamó Meyerhold, interesado en que “la plástica no correspondiera a las palabras”–, generó un trabajo de estilización: “Este concepto nace de la necesidad de sacar a los actores de la anarquía del teatro naturalista para llevarlos a una toma de conciencia en cuanto a los principios organizativos de un teatro de realismo convencional” (Meyerhold, El actor 165).</w:t>
      </w:r>
    </w:p>
    <w:p w14:paraId="4417D5C8"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El procedimiento teatral que Meyerhold lleva a cabo, persigue como objeto estético una puesta en escena de carácter artificial: “una dramaturgia y una </w:t>
      </w:r>
      <w:r w:rsidRPr="0072588B">
        <w:rPr>
          <w:rFonts w:ascii="Times New Roman" w:eastAsia="Times New Roman" w:hAnsi="Times New Roman" w:cs="Times New Roman"/>
          <w:color w:val="000000"/>
          <w:sz w:val="27"/>
          <w:szCs w:val="27"/>
          <w:lang w:eastAsia="es-AR"/>
        </w:rPr>
        <w:lastRenderedPageBreak/>
        <w:t>puesta en escena que no oculten los procedimientos de construcción y de funcionamiento teatral” (Pavis 356). Esta nueva concepción difiere de la consigna del teatro naturalista; sin embargo, Meyerhold matiza su separación del realismo ilustrado, logrando por medio de la abstracción estilizar la realidad.</w:t>
      </w:r>
    </w:p>
    <w:p w14:paraId="617140FB"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Meyerhold encontró en el simbolismo</w:t>
      </w:r>
      <w:bookmarkStart w:id="4" w:name="nota5"/>
      <w:bookmarkEnd w:id="4"/>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5</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equivalentes plásticos con los cuales comunicar la realidad; se interesaba por una composición plástica que no concordase con las palabras, gestos corporales y texto hablado. Para Meyerhold, cada uno de estos elementos puede tener su propio ritmo y en ocasiones aparecer desligado de los otros.</w:t>
      </w:r>
    </w:p>
    <w:p w14:paraId="50D6C987" w14:textId="77777777" w:rsidR="0072588B" w:rsidRPr="00883BD7" w:rsidRDefault="0072588B" w:rsidP="0072588B">
      <w:pPr>
        <w:spacing w:before="100" w:beforeAutospacing="1" w:after="100" w:afterAutospacing="1" w:line="240" w:lineRule="auto"/>
        <w:rPr>
          <w:rFonts w:ascii="Times New Roman" w:eastAsia="Times New Roman" w:hAnsi="Times New Roman" w:cs="Times New Roman"/>
          <w:b/>
          <w:bCs/>
          <w:color w:val="000000"/>
          <w:sz w:val="27"/>
          <w:szCs w:val="27"/>
          <w:lang w:eastAsia="es-AR"/>
        </w:rPr>
      </w:pPr>
      <w:r w:rsidRPr="00883BD7">
        <w:rPr>
          <w:rFonts w:ascii="Times New Roman" w:eastAsia="Times New Roman" w:hAnsi="Times New Roman" w:cs="Times New Roman"/>
          <w:b/>
          <w:bCs/>
          <w:color w:val="000000"/>
          <w:sz w:val="27"/>
          <w:szCs w:val="27"/>
          <w:lang w:eastAsia="es-AR"/>
        </w:rPr>
        <w:t>Teatro de la convención consciente</w:t>
      </w:r>
    </w:p>
    <w:p w14:paraId="5AFE32E8"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Gordon Craig, en 1910, ya se refería al simbolismo como un bien sensato, ordenado y universal,</w:t>
      </w:r>
      <w:bookmarkStart w:id="5" w:name="nota6"/>
      <w:bookmarkEnd w:id="5"/>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6</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“porque el simbolismo se encuentra en las raíces no sólo del arte, sino de la vida misma; es sólo por medio de símbolos que la vida se vuelve posible” (286).</w:t>
      </w:r>
    </w:p>
    <w:p w14:paraId="64F3D994"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Para utilizar todos estos símbolos en escena, deben existir, en primera instancia, una serie de convenciones</w:t>
      </w:r>
      <w:bookmarkStart w:id="6" w:name="nota7"/>
      <w:bookmarkEnd w:id="6"/>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7</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tanto para el actor como para el espectador; son como las reglas de un juego: se requiere consciencia sobre ellas y que sean respetadas. Lo que se presenta en el juego teatral ya no es observado como algo real (naturalista), sino como una ficción</w:t>
      </w:r>
      <w:bookmarkStart w:id="7" w:name="nota8"/>
      <w:bookmarkEnd w:id="7"/>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8</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que está elaborada por medio de signos, donde predomina el cuerpo con su diseño de movimiento, plástica y musicalidad.</w:t>
      </w:r>
    </w:p>
    <w:p w14:paraId="79EEE0CC"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Para este nuevo teatro:</w:t>
      </w:r>
    </w:p>
    <w:p w14:paraId="5C32F0BD"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Por fin, la técnica convencional supone en el teatro, después del autor, escenógrafo y actor, al cuarto creador: el espectador. El teatro de convención elabora puestas en escena donde el espectador, con su imaginación, debe completar de manera creativa el dibujo de las ilusiones dadas allí en escena (Meyerhold, </w:t>
      </w:r>
      <w:proofErr w:type="spellStart"/>
      <w:r w:rsidRPr="0072588B">
        <w:rPr>
          <w:rFonts w:ascii="Times New Roman" w:eastAsia="Times New Roman" w:hAnsi="Times New Roman" w:cs="Times New Roman"/>
          <w:color w:val="000000"/>
          <w:sz w:val="27"/>
          <w:szCs w:val="27"/>
          <w:lang w:eastAsia="es-AR"/>
        </w:rPr>
        <w:t>Écrits</w:t>
      </w:r>
      <w:proofErr w:type="spellEnd"/>
      <w:r w:rsidRPr="0072588B">
        <w:rPr>
          <w:rFonts w:ascii="Times New Roman" w:eastAsia="Times New Roman" w:hAnsi="Times New Roman" w:cs="Times New Roman"/>
          <w:color w:val="000000"/>
          <w:sz w:val="27"/>
          <w:szCs w:val="27"/>
          <w:lang w:eastAsia="es-AR"/>
        </w:rPr>
        <w:t xml:space="preserve"> sur le </w:t>
      </w:r>
      <w:proofErr w:type="spellStart"/>
      <w:r w:rsidRPr="0072588B">
        <w:rPr>
          <w:rFonts w:ascii="Times New Roman" w:eastAsia="Times New Roman" w:hAnsi="Times New Roman" w:cs="Times New Roman"/>
          <w:color w:val="000000"/>
          <w:sz w:val="27"/>
          <w:szCs w:val="27"/>
          <w:lang w:eastAsia="es-AR"/>
        </w:rPr>
        <w:t>Théâtre</w:t>
      </w:r>
      <w:proofErr w:type="spellEnd"/>
      <w:r w:rsidRPr="0072588B">
        <w:rPr>
          <w:rFonts w:ascii="Times New Roman" w:eastAsia="Times New Roman" w:hAnsi="Times New Roman" w:cs="Times New Roman"/>
          <w:color w:val="000000"/>
          <w:sz w:val="27"/>
          <w:szCs w:val="27"/>
          <w:lang w:eastAsia="es-AR"/>
        </w:rPr>
        <w:t xml:space="preserve"> 116).</w:t>
      </w:r>
    </w:p>
    <w:p w14:paraId="294A5B9A"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El espectador de este teatro deja de ser un ente estático; ahora se le anima a pensar y a discutir, ya no se trata sólo de una sensibilidad emotiva sino de una sensibilidad sensorial. Según Barba: “Meyerhold quiere provocar en el espectador un reflejo emocional que no pasa necesariamente a través del aspecto intelectual, sino que se basa en la sensibilidad sensorial y cinestésica” (Barba y </w:t>
      </w:r>
      <w:proofErr w:type="spellStart"/>
      <w:r w:rsidRPr="0072588B">
        <w:rPr>
          <w:rFonts w:ascii="Times New Roman" w:eastAsia="Times New Roman" w:hAnsi="Times New Roman" w:cs="Times New Roman"/>
          <w:color w:val="000000"/>
          <w:sz w:val="27"/>
          <w:szCs w:val="27"/>
          <w:lang w:eastAsia="es-AR"/>
        </w:rPr>
        <w:t>Savarese</w:t>
      </w:r>
      <w:proofErr w:type="spellEnd"/>
      <w:r w:rsidRPr="0072588B">
        <w:rPr>
          <w:rFonts w:ascii="Times New Roman" w:eastAsia="Times New Roman" w:hAnsi="Times New Roman" w:cs="Times New Roman"/>
          <w:color w:val="000000"/>
          <w:sz w:val="27"/>
          <w:szCs w:val="27"/>
          <w:lang w:eastAsia="es-AR"/>
        </w:rPr>
        <w:t xml:space="preserve"> 179), algo con lo que su antropología teatral está de acuerdo, al considerar que un mismo espectáculo puede convertirse en una auténtica “expedición antropológica”. Se crea una experiencia tanto para el actor como para el espectador, sin que esto signifique que tiene que ser la misma para los dos.</w:t>
      </w:r>
      <w:bookmarkStart w:id="8" w:name="nota9"/>
      <w:bookmarkEnd w:id="8"/>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9</w:t>
      </w:r>
      <w:r w:rsidRPr="0072588B">
        <w:rPr>
          <w:rFonts w:ascii="Times New Roman" w:eastAsia="Times New Roman" w:hAnsi="Times New Roman" w:cs="Times New Roman"/>
          <w:color w:val="000000"/>
          <w:sz w:val="27"/>
          <w:szCs w:val="27"/>
          <w:lang w:eastAsia="es-AR"/>
        </w:rPr>
        <w:fldChar w:fldCharType="end"/>
      </w:r>
    </w:p>
    <w:p w14:paraId="14B9322D" w14:textId="77777777" w:rsidR="00883BD7" w:rsidRDefault="00883BD7" w:rsidP="0072588B">
      <w:pPr>
        <w:spacing w:before="100" w:beforeAutospacing="1" w:after="100" w:afterAutospacing="1" w:line="240" w:lineRule="auto"/>
        <w:rPr>
          <w:rFonts w:ascii="Times New Roman" w:eastAsia="Times New Roman" w:hAnsi="Times New Roman" w:cs="Times New Roman"/>
          <w:b/>
          <w:bCs/>
          <w:color w:val="000000"/>
          <w:sz w:val="27"/>
          <w:szCs w:val="27"/>
          <w:lang w:eastAsia="es-AR"/>
        </w:rPr>
      </w:pPr>
    </w:p>
    <w:p w14:paraId="24A8EDBA" w14:textId="0A5C5F1B" w:rsidR="0072588B" w:rsidRPr="00883BD7" w:rsidRDefault="0072588B" w:rsidP="0072588B">
      <w:pPr>
        <w:spacing w:before="100" w:beforeAutospacing="1" w:after="100" w:afterAutospacing="1" w:line="240" w:lineRule="auto"/>
        <w:rPr>
          <w:rFonts w:ascii="Times New Roman" w:eastAsia="Times New Roman" w:hAnsi="Times New Roman" w:cs="Times New Roman"/>
          <w:b/>
          <w:bCs/>
          <w:color w:val="000000"/>
          <w:sz w:val="27"/>
          <w:szCs w:val="27"/>
          <w:lang w:eastAsia="es-AR"/>
        </w:rPr>
      </w:pPr>
      <w:r w:rsidRPr="00883BD7">
        <w:rPr>
          <w:rFonts w:ascii="Times New Roman" w:eastAsia="Times New Roman" w:hAnsi="Times New Roman" w:cs="Times New Roman"/>
          <w:b/>
          <w:bCs/>
          <w:color w:val="000000"/>
          <w:sz w:val="27"/>
          <w:szCs w:val="27"/>
          <w:lang w:eastAsia="es-AR"/>
        </w:rPr>
        <w:t>Cotidianidad grotesca</w:t>
      </w:r>
    </w:p>
    <w:p w14:paraId="7FB4B6AF"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Para cambiar la percepción del espectador y del actor, Meyerhold recurre al género grotesco</w:t>
      </w:r>
      <w:bookmarkStart w:id="9" w:name="nota10"/>
      <w:bookmarkEnd w:id="9"/>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10</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que ya estaba instaurado en la literatura, la música y las artes plásticas. En efecto, encuentra en el género una nueva forma de observar la vida cotidiana, de profundizarla por medio del contraste, según lo exponía en 1912:</w:t>
      </w:r>
    </w:p>
    <w:p w14:paraId="52D147AB"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Al grotesco le está permitido aproximarse de modo insólito a la vida cotidiana. El grotesco permite precisamente la vida cotidiana, cesando de representarse sólo lo que es habitual. En la vida, además de lo que vemos, hay también un vastísimo sector inexplorado. El grotesco, buscando lo sobrenatural, junta en síntesis la escénica de los contrarios, crea un cuadro del fenómeno e induce al espectador a la tentativa de resolver el enigma de lo incomprensible (Meyerhold, Meyerhold: Textos Teóricos 195).</w:t>
      </w:r>
    </w:p>
    <w:p w14:paraId="41B73AC5"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Este nuevo enfoque de lo cotidiano, refleja que Meyerhold –al igual que Stanislavski– tuvo presentes en su trabajo teatral a los elementos de la vida cotidiana; la diferencia reside en que Meyerhold lo hacía a través de una estilización de la realidad (la forma exterior en la que se dilata el cuerpo aculturado), mientras que Stanislavski refleja la vida cotidiana como un efecto de ilusión, que se inicia con la dilatación de la mente sobre el cuerpo </w:t>
      </w:r>
      <w:proofErr w:type="spellStart"/>
      <w:r w:rsidRPr="0072588B">
        <w:rPr>
          <w:rFonts w:ascii="Times New Roman" w:eastAsia="Times New Roman" w:hAnsi="Times New Roman" w:cs="Times New Roman"/>
          <w:color w:val="000000"/>
          <w:sz w:val="27"/>
          <w:szCs w:val="27"/>
          <w:lang w:eastAsia="es-AR"/>
        </w:rPr>
        <w:t>inculturado</w:t>
      </w:r>
      <w:proofErr w:type="spellEnd"/>
      <w:r w:rsidRPr="0072588B">
        <w:rPr>
          <w:rFonts w:ascii="Times New Roman" w:eastAsia="Times New Roman" w:hAnsi="Times New Roman" w:cs="Times New Roman"/>
          <w:color w:val="000000"/>
          <w:sz w:val="27"/>
          <w:szCs w:val="27"/>
          <w:lang w:eastAsia="es-AR"/>
        </w:rPr>
        <w:t>:</w:t>
      </w:r>
    </w:p>
    <w:p w14:paraId="2D5674A1"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Para Meyerhold, el grotesco constituye un ‘nuevo enfoque de lo cotidiano’, el grotesco ‘profundiza lo cotidiano’... El grotesco está regido así por la ley de la disonancia. Ésta permite constituir una suerte de </w:t>
      </w:r>
      <w:proofErr w:type="spellStart"/>
      <w:r w:rsidRPr="0072588B">
        <w:rPr>
          <w:rFonts w:ascii="Times New Roman" w:eastAsia="Times New Roman" w:hAnsi="Times New Roman" w:cs="Times New Roman"/>
          <w:color w:val="000000"/>
          <w:sz w:val="27"/>
          <w:szCs w:val="27"/>
          <w:lang w:eastAsia="es-AR"/>
        </w:rPr>
        <w:t>coincidentia</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oppositorum</w:t>
      </w:r>
      <w:proofErr w:type="spellEnd"/>
      <w:r w:rsidRPr="0072588B">
        <w:rPr>
          <w:rFonts w:ascii="Times New Roman" w:eastAsia="Times New Roman" w:hAnsi="Times New Roman" w:cs="Times New Roman"/>
          <w:color w:val="000000"/>
          <w:sz w:val="27"/>
          <w:szCs w:val="27"/>
          <w:lang w:eastAsia="es-AR"/>
        </w:rPr>
        <w:t xml:space="preserve"> que se convierte en el principio creador y filosófico del teatro, el soporte de la visión de mundo de Meyerhold, quien aspira a una ‘belleza armoniosa’ que asegure la disonancia. Por lo tanto, justamente gracias al grotesco</w:t>
      </w:r>
      <w:bookmarkStart w:id="10" w:name="nota11"/>
      <w:bookmarkEnd w:id="10"/>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11</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y a esta belleza armoniosa, el cotidiano será vencido en el cotidiano (De Toro 156-57).</w:t>
      </w:r>
    </w:p>
    <w:p w14:paraId="68C50EE4"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El efecto de ilusión de la vida cotidiana buscado por Stanislavski, y el efecto de ficción de la vida cotidiana de Meyerhold, muestran, desde el punto de vista de los resultados, una oposición; sin embargo, desde el punto de vista pre-expresivo no representan objetivos tan opuestos: la técnica extracotidiana se hace visible en uno y otro caso, así parta de la inculturación, o bien, del sentido aculturado.</w:t>
      </w:r>
    </w:p>
    <w:p w14:paraId="6AD928D4" w14:textId="77777777" w:rsidR="0072588B" w:rsidRPr="00883BD7" w:rsidRDefault="0072588B" w:rsidP="0072588B">
      <w:pPr>
        <w:spacing w:before="100" w:beforeAutospacing="1" w:after="100" w:afterAutospacing="1" w:line="240" w:lineRule="auto"/>
        <w:rPr>
          <w:rFonts w:ascii="Times New Roman" w:eastAsia="Times New Roman" w:hAnsi="Times New Roman" w:cs="Times New Roman"/>
          <w:b/>
          <w:bCs/>
          <w:color w:val="000000"/>
          <w:sz w:val="27"/>
          <w:szCs w:val="27"/>
          <w:lang w:eastAsia="es-AR"/>
        </w:rPr>
      </w:pPr>
      <w:proofErr w:type="spellStart"/>
      <w:r w:rsidRPr="00883BD7">
        <w:rPr>
          <w:rFonts w:ascii="Times New Roman" w:eastAsia="Times New Roman" w:hAnsi="Times New Roman" w:cs="Times New Roman"/>
          <w:b/>
          <w:bCs/>
          <w:color w:val="000000"/>
          <w:sz w:val="27"/>
          <w:szCs w:val="27"/>
          <w:lang w:eastAsia="es-AR"/>
        </w:rPr>
        <w:t>Pre-expresividad</w:t>
      </w:r>
      <w:proofErr w:type="spellEnd"/>
      <w:r w:rsidRPr="00883BD7">
        <w:rPr>
          <w:rFonts w:ascii="Times New Roman" w:eastAsia="Times New Roman" w:hAnsi="Times New Roman" w:cs="Times New Roman"/>
          <w:b/>
          <w:bCs/>
          <w:color w:val="000000"/>
          <w:sz w:val="27"/>
          <w:szCs w:val="27"/>
          <w:lang w:eastAsia="es-AR"/>
        </w:rPr>
        <w:t xml:space="preserve"> biomecánica</w:t>
      </w:r>
    </w:p>
    <w:p w14:paraId="28002B5A"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Para alcanzar esta cotidianidad grotesca o “realismo estilizado”, Meyerhold, en 1914, empieza a trabajar el cuerpo a nivel pre-expresivo: “¿Cómo debe </w:t>
      </w:r>
      <w:r w:rsidRPr="0072588B">
        <w:rPr>
          <w:rFonts w:ascii="Times New Roman" w:eastAsia="Times New Roman" w:hAnsi="Times New Roman" w:cs="Times New Roman"/>
          <w:color w:val="000000"/>
          <w:sz w:val="27"/>
          <w:szCs w:val="27"/>
          <w:lang w:eastAsia="es-AR"/>
        </w:rPr>
        <w:lastRenderedPageBreak/>
        <w:t xml:space="preserve">moverse el actor en escena, </w:t>
      </w:r>
      <w:proofErr w:type="gramStart"/>
      <w:r w:rsidRPr="0072588B">
        <w:rPr>
          <w:rFonts w:ascii="Times New Roman" w:eastAsia="Times New Roman" w:hAnsi="Times New Roman" w:cs="Times New Roman"/>
          <w:color w:val="000000"/>
          <w:sz w:val="27"/>
          <w:szCs w:val="27"/>
          <w:lang w:eastAsia="es-AR"/>
        </w:rPr>
        <w:t>cómo debe incidir aquel ‘dibujo de movimientos’ que concretan la relación actor-espectador a nivel sensorial, antes que a nivel intelectual y emotivo?</w:t>
      </w:r>
      <w:proofErr w:type="gramEnd"/>
      <w:r w:rsidRPr="0072588B">
        <w:rPr>
          <w:rFonts w:ascii="Times New Roman" w:eastAsia="Times New Roman" w:hAnsi="Times New Roman" w:cs="Times New Roman"/>
          <w:color w:val="000000"/>
          <w:sz w:val="27"/>
          <w:szCs w:val="27"/>
          <w:lang w:eastAsia="es-AR"/>
        </w:rPr>
        <w:t xml:space="preserve">” (Barba y </w:t>
      </w:r>
      <w:proofErr w:type="spellStart"/>
      <w:r w:rsidRPr="0072588B">
        <w:rPr>
          <w:rFonts w:ascii="Times New Roman" w:eastAsia="Times New Roman" w:hAnsi="Times New Roman" w:cs="Times New Roman"/>
          <w:color w:val="000000"/>
          <w:sz w:val="27"/>
          <w:szCs w:val="27"/>
          <w:lang w:eastAsia="es-AR"/>
        </w:rPr>
        <w:t>Savarese</w:t>
      </w:r>
      <w:proofErr w:type="spellEnd"/>
      <w:r w:rsidRPr="0072588B">
        <w:rPr>
          <w:rFonts w:ascii="Times New Roman" w:eastAsia="Times New Roman" w:hAnsi="Times New Roman" w:cs="Times New Roman"/>
          <w:color w:val="000000"/>
          <w:sz w:val="27"/>
          <w:szCs w:val="27"/>
          <w:lang w:eastAsia="es-AR"/>
        </w:rPr>
        <w:t xml:space="preserve"> 180).</w:t>
      </w:r>
    </w:p>
    <w:p w14:paraId="298BE98C"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Con este programa de estudio,</w:t>
      </w:r>
      <w:bookmarkStart w:id="11" w:name="nota12"/>
      <w:bookmarkEnd w:id="11"/>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12</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que en 1922 presenta sus resultados más recientes, Meyerhold hace el tránsito del “teatro de convención consciente” al método de la biomecánica, la cual fue definida así: “La ley fundamental de la biomecánica es muy sencilla: el cuerpo entero participa en cada uno de nuestros movimientos. A continuación, no hay que hacer más que realizar estudios y una serie de ejercicios de perfeccionamiento” (Meyerhold, El actor sobre la escena 111).</w:t>
      </w:r>
    </w:p>
    <w:p w14:paraId="778B6F21"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Este interés por individualizar y perfeccionar el movimiento es extrapolado al comportamiento cotidiano de los obreros en su trabajo:</w:t>
      </w:r>
    </w:p>
    <w:p w14:paraId="3B334BEF"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Examinando el trabajo de un obrero experto, encontramos en sus movimientos: 1) ausencia de desplazamientos superfluos, improductivos; 2) ritmo; 3) determinación del centro justo de gravedad del propio cuerpo; 4) resistencia. Los movimientos fundados sobre estas bases se distinguen por su carácter de ‘danza’; el trabajo de un obrero experto recuerda siempre a la danza, y en este punto bordea los límites del arte (Meyerhold, Meyerhold: Textos Teóricos 230).</w:t>
      </w:r>
    </w:p>
    <w:p w14:paraId="39F4EEE9"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Meyerhold plantea que la técnica que utiliza un obrero en su trabajo habitual ha sido perfeccionada por medio de la disciplina y la repetición en el tiempo, a través de lo cual deviene un experto, generando una “segunda técnica” distinta a la cotidiana. También nosotros somos expertos en la esfera del comportamiento cotidiano, como implicaba el antropólogo Marcel Mauss</w:t>
      </w:r>
      <w:bookmarkStart w:id="12" w:name="nota13"/>
      <w:bookmarkEnd w:id="12"/>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13</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al hablar de las técnicas del cuerpo. Sin embargo, lo que le interesa a Meyerhold es el proceso físico por el que pasa un obrero para volverse experto en su ocupación; ahí encuentra la justificación para dar a entender que el trabajo del actor también está condicionado por el adiestramiento de sus bases materiales. El cuerpo del intérprete debe tener la capacidad de utilizar de forma correcta sus medios expresivos, es decir, adquirir una “segunda técnica” que le permita instantáneamente ejecutar las órdenes del director y del autor sobre su biomecánica:</w:t>
      </w:r>
    </w:p>
    <w:p w14:paraId="047E2761"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El actor comprende en sí mismo tanto a quien organiza como a lo que debe ser organizado (es decir, el artista es el material). La fórmula del actor consistirá en la siguiente expresión: N = A1 + A2, siendo N el actor, A1 el constructor –que formula mentalmente y transmite las órdenes para la realización de la tarea–, y A2 el cuerpo del actor, el ejecutor que realiza la idea del constructor A1 (</w:t>
      </w:r>
      <w:proofErr w:type="spellStart"/>
      <w:r w:rsidRPr="0072588B">
        <w:rPr>
          <w:rFonts w:ascii="Times New Roman" w:eastAsia="Times New Roman" w:hAnsi="Times New Roman" w:cs="Times New Roman"/>
          <w:color w:val="000000"/>
          <w:sz w:val="27"/>
          <w:szCs w:val="27"/>
          <w:lang w:eastAsia="es-AR"/>
        </w:rPr>
        <w:t>ibídem</w:t>
      </w:r>
      <w:proofErr w:type="spellEnd"/>
      <w:r w:rsidRPr="0072588B">
        <w:rPr>
          <w:rFonts w:ascii="Times New Roman" w:eastAsia="Times New Roman" w:hAnsi="Times New Roman" w:cs="Times New Roman"/>
          <w:color w:val="000000"/>
          <w:sz w:val="27"/>
          <w:szCs w:val="27"/>
          <w:lang w:eastAsia="es-AR"/>
        </w:rPr>
        <w:t>).</w:t>
      </w:r>
    </w:p>
    <w:p w14:paraId="76B979B2"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lastRenderedPageBreak/>
        <w:t>Lo interesante de la cita anterior es constatar la urgencia, por parte de Meyerhold, de darle a sus estudios experimentales una base científica, inspirado en el sistema del taylorismo</w:t>
      </w:r>
      <w:bookmarkStart w:id="13" w:name="nota14"/>
      <w:bookmarkEnd w:id="13"/>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14</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de Frederick Winslow, la reflexología</w:t>
      </w:r>
      <w:bookmarkStart w:id="14" w:name="nota15"/>
      <w:bookmarkEnd w:id="14"/>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15</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xml:space="preserve"> de Iván </w:t>
      </w:r>
      <w:proofErr w:type="spellStart"/>
      <w:r w:rsidRPr="0072588B">
        <w:rPr>
          <w:rFonts w:ascii="Times New Roman" w:eastAsia="Times New Roman" w:hAnsi="Times New Roman" w:cs="Times New Roman"/>
          <w:color w:val="000000"/>
          <w:sz w:val="27"/>
          <w:szCs w:val="27"/>
          <w:lang w:eastAsia="es-AR"/>
        </w:rPr>
        <w:t>Petrovich</w:t>
      </w:r>
      <w:proofErr w:type="spellEnd"/>
      <w:r w:rsidRPr="0072588B">
        <w:rPr>
          <w:rFonts w:ascii="Times New Roman" w:eastAsia="Times New Roman" w:hAnsi="Times New Roman" w:cs="Times New Roman"/>
          <w:color w:val="000000"/>
          <w:sz w:val="27"/>
          <w:szCs w:val="27"/>
          <w:lang w:eastAsia="es-AR"/>
        </w:rPr>
        <w:t xml:space="preserve"> Pavlov y la teoría de la emoción</w:t>
      </w:r>
      <w:bookmarkStart w:id="15" w:name="nota16"/>
      <w:bookmarkEnd w:id="15"/>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16</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de James-Lange. Meyerhold no sólo refiere al camino físico inconsciente, sino que se interesa también por los aspectos psicológicos o mentales que, para él, pueden ser estudiados por medio de las leyes de la mecánica.</w:t>
      </w:r>
    </w:p>
    <w:p w14:paraId="447E8A1D"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El punto de partida de su trabajo, a diferencia de Stanislavski, consistía en comenzar por el exterior para luego conectar con el interior: no río porque tenga alegría, sino que tengo alegría porque río. Según Picon-Vallin,</w:t>
      </w:r>
      <w:bookmarkStart w:id="16" w:name="nota17"/>
      <w:bookmarkEnd w:id="16"/>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17</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en la biomecánica de Meyerhold:</w:t>
      </w:r>
    </w:p>
    <w:p w14:paraId="45855C77"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Todo acto físico se pone en marcha por un proceso nervioso, y toda acción puede tener por respuesta una excitación. El proceso que une la excitación a una respuesta de movimiento es un proceso nervioso, por </w:t>
      </w:r>
      <w:proofErr w:type="gramStart"/>
      <w:r w:rsidRPr="0072588B">
        <w:rPr>
          <w:rFonts w:ascii="Times New Roman" w:eastAsia="Times New Roman" w:hAnsi="Times New Roman" w:cs="Times New Roman"/>
          <w:color w:val="000000"/>
          <w:sz w:val="27"/>
          <w:szCs w:val="27"/>
          <w:lang w:eastAsia="es-AR"/>
        </w:rPr>
        <w:t>tanto</w:t>
      </w:r>
      <w:proofErr w:type="gramEnd"/>
      <w:r w:rsidRPr="0072588B">
        <w:rPr>
          <w:rFonts w:ascii="Times New Roman" w:eastAsia="Times New Roman" w:hAnsi="Times New Roman" w:cs="Times New Roman"/>
          <w:color w:val="000000"/>
          <w:sz w:val="27"/>
          <w:szCs w:val="27"/>
          <w:lang w:eastAsia="es-AR"/>
        </w:rPr>
        <w:t xml:space="preserve"> psicológico; el comportamiento humano es visto como una serie de reflejos naturales y condicionados, pues el sistema nervioso responde en todo momento a las oscilaciones-excitaciones del mundo exterior o de su cuerpo mismo (</w:t>
      </w:r>
      <w:proofErr w:type="spellStart"/>
      <w:r w:rsidRPr="0072588B">
        <w:rPr>
          <w:rFonts w:ascii="Times New Roman" w:eastAsia="Times New Roman" w:hAnsi="Times New Roman" w:cs="Times New Roman"/>
          <w:color w:val="000000"/>
          <w:sz w:val="27"/>
          <w:szCs w:val="27"/>
          <w:lang w:eastAsia="es-AR"/>
        </w:rPr>
        <w:t>Picon-Vallin</w:t>
      </w:r>
      <w:proofErr w:type="spellEnd"/>
      <w:r w:rsidRPr="0072588B">
        <w:rPr>
          <w:rFonts w:ascii="Times New Roman" w:eastAsia="Times New Roman" w:hAnsi="Times New Roman" w:cs="Times New Roman"/>
          <w:color w:val="000000"/>
          <w:sz w:val="27"/>
          <w:szCs w:val="27"/>
          <w:lang w:eastAsia="es-AR"/>
        </w:rPr>
        <w:t>, Meyerhold 106).</w:t>
      </w:r>
    </w:p>
    <w:p w14:paraId="28392A95"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Aquí, cada acción hace partícipe al cuerpo entero, mientras que en la técnica cotidiana sólo una parte del cuerpo participa. Recordemos que esta última trabaja por la ley del mínimo esfuerzo, mientras que en las técnicas extracotidianas pasa lo contrario: los ejercicios que realiza un actor biomecánico están destinados para quien hace teatro y no para el punto de vista de los espectadores; trabajan en el nivel pre-expresivo y no se restringen a presupuestos físicos, sino también a una forma de pensar en movimiento.</w:t>
      </w:r>
    </w:p>
    <w:p w14:paraId="34235871"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Otkas, </w:t>
      </w:r>
      <w:proofErr w:type="spellStart"/>
      <w:r w:rsidRPr="0072588B">
        <w:rPr>
          <w:rFonts w:ascii="Times New Roman" w:eastAsia="Times New Roman" w:hAnsi="Times New Roman" w:cs="Times New Roman"/>
          <w:color w:val="000000"/>
          <w:sz w:val="27"/>
          <w:szCs w:val="27"/>
          <w:lang w:eastAsia="es-AR"/>
        </w:rPr>
        <w:t>posyl</w:t>
      </w:r>
      <w:proofErr w:type="spellEnd"/>
      <w:r w:rsidRPr="0072588B">
        <w:rPr>
          <w:rFonts w:ascii="Times New Roman" w:eastAsia="Times New Roman" w:hAnsi="Times New Roman" w:cs="Times New Roman"/>
          <w:color w:val="000000"/>
          <w:sz w:val="27"/>
          <w:szCs w:val="27"/>
          <w:lang w:eastAsia="es-AR"/>
        </w:rPr>
        <w:t xml:space="preserve">, tormos y </w:t>
      </w:r>
      <w:proofErr w:type="spellStart"/>
      <w:r w:rsidRPr="0072588B">
        <w:rPr>
          <w:rFonts w:ascii="Times New Roman" w:eastAsia="Times New Roman" w:hAnsi="Times New Roman" w:cs="Times New Roman"/>
          <w:color w:val="000000"/>
          <w:sz w:val="27"/>
          <w:szCs w:val="27"/>
          <w:lang w:eastAsia="es-AR"/>
        </w:rPr>
        <w:t>stoika</w:t>
      </w:r>
      <w:proofErr w:type="spellEnd"/>
      <w:r w:rsidRPr="0072588B">
        <w:rPr>
          <w:rFonts w:ascii="Times New Roman" w:eastAsia="Times New Roman" w:hAnsi="Times New Roman" w:cs="Times New Roman"/>
          <w:color w:val="000000"/>
          <w:sz w:val="27"/>
          <w:szCs w:val="27"/>
          <w:lang w:eastAsia="es-AR"/>
        </w:rPr>
        <w:t>: acción biomecánica extracotidiana aculturada</w:t>
      </w:r>
    </w:p>
    <w:p w14:paraId="4B04B760"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Según Borja Ruiz, el actor biomecánico sintetiza su interpretación en una partitura de movimiento, que incorpora tanto aspectos internos como externos con una particular matización en cada caso: “En la biomecánica, esta partitura, esta mecánica, por muy establecida que esté, debe cobrar vida, debe jugarse, hacerse flexible, de otro modo la interpretación queda vacía, predecible, robotizada” (125).</w:t>
      </w:r>
    </w:p>
    <w:p w14:paraId="0EFBACED"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Meyerhold trabaja la partitura de acción a través de una </w:t>
      </w:r>
      <w:proofErr w:type="spellStart"/>
      <w:r w:rsidRPr="0072588B">
        <w:rPr>
          <w:rFonts w:ascii="Times New Roman" w:eastAsia="Times New Roman" w:hAnsi="Times New Roman" w:cs="Times New Roman"/>
          <w:color w:val="000000"/>
          <w:sz w:val="27"/>
          <w:szCs w:val="27"/>
          <w:lang w:eastAsia="es-AR"/>
        </w:rPr>
        <w:t>aculturización</w:t>
      </w:r>
      <w:proofErr w:type="spellEnd"/>
      <w:r w:rsidRPr="0072588B">
        <w:rPr>
          <w:rFonts w:ascii="Times New Roman" w:eastAsia="Times New Roman" w:hAnsi="Times New Roman" w:cs="Times New Roman"/>
          <w:color w:val="000000"/>
          <w:sz w:val="27"/>
          <w:szCs w:val="27"/>
          <w:lang w:eastAsia="es-AR"/>
        </w:rPr>
        <w:t xml:space="preserve"> del cuerpo, una codificación que el actor compone en cuatro fases: otkas, </w:t>
      </w:r>
      <w:proofErr w:type="spellStart"/>
      <w:r w:rsidRPr="0072588B">
        <w:rPr>
          <w:rFonts w:ascii="Times New Roman" w:eastAsia="Times New Roman" w:hAnsi="Times New Roman" w:cs="Times New Roman"/>
          <w:color w:val="000000"/>
          <w:sz w:val="27"/>
          <w:szCs w:val="27"/>
          <w:lang w:eastAsia="es-AR"/>
        </w:rPr>
        <w:t>posyl</w:t>
      </w:r>
      <w:proofErr w:type="spellEnd"/>
      <w:r w:rsidRPr="0072588B">
        <w:rPr>
          <w:rFonts w:ascii="Times New Roman" w:eastAsia="Times New Roman" w:hAnsi="Times New Roman" w:cs="Times New Roman"/>
          <w:color w:val="000000"/>
          <w:sz w:val="27"/>
          <w:szCs w:val="27"/>
          <w:lang w:eastAsia="es-AR"/>
        </w:rPr>
        <w:t xml:space="preserve">, tormos y </w:t>
      </w:r>
      <w:proofErr w:type="spellStart"/>
      <w:r w:rsidRPr="0072588B">
        <w:rPr>
          <w:rFonts w:ascii="Times New Roman" w:eastAsia="Times New Roman" w:hAnsi="Times New Roman" w:cs="Times New Roman"/>
          <w:color w:val="000000"/>
          <w:sz w:val="27"/>
          <w:szCs w:val="27"/>
          <w:lang w:eastAsia="es-AR"/>
        </w:rPr>
        <w:t>stoika</w:t>
      </w:r>
      <w:proofErr w:type="spellEnd"/>
      <w:r w:rsidRPr="0072588B">
        <w:rPr>
          <w:rFonts w:ascii="Times New Roman" w:eastAsia="Times New Roman" w:hAnsi="Times New Roman" w:cs="Times New Roman"/>
          <w:color w:val="000000"/>
          <w:sz w:val="27"/>
          <w:szCs w:val="27"/>
          <w:lang w:eastAsia="es-AR"/>
        </w:rPr>
        <w:t>. Éstas visualizan principios recurrentes en las leyes</w:t>
      </w:r>
      <w:bookmarkStart w:id="17" w:name="nota18"/>
      <w:bookmarkEnd w:id="17"/>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18</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w:t>
      </w:r>
      <w:proofErr w:type="spellStart"/>
      <w:r w:rsidRPr="0072588B">
        <w:rPr>
          <w:rFonts w:ascii="Times New Roman" w:eastAsia="Times New Roman" w:hAnsi="Times New Roman" w:cs="Times New Roman"/>
          <w:color w:val="000000"/>
          <w:sz w:val="27"/>
          <w:szCs w:val="27"/>
          <w:lang w:eastAsia="es-AR"/>
        </w:rPr>
        <w:t>pre-expresivas</w:t>
      </w:r>
      <w:proofErr w:type="spellEnd"/>
      <w:r w:rsidRPr="0072588B">
        <w:rPr>
          <w:rFonts w:ascii="Times New Roman" w:eastAsia="Times New Roman" w:hAnsi="Times New Roman" w:cs="Times New Roman"/>
          <w:color w:val="000000"/>
          <w:sz w:val="27"/>
          <w:szCs w:val="27"/>
          <w:lang w:eastAsia="es-AR"/>
        </w:rPr>
        <w:t xml:space="preserve"> de la antropología teatral de Eugenio Barba.</w:t>
      </w:r>
    </w:p>
    <w:p w14:paraId="6825CBC6"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El otkas</w:t>
      </w:r>
      <w:bookmarkStart w:id="18" w:name="nota19"/>
      <w:bookmarkEnd w:id="18"/>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19</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xml:space="preserve"> es un principio de la biomecánica, donde cada acción que realiza un actor debe estar antecedida por un movimiento en la dirección contraria; es </w:t>
      </w:r>
      <w:r w:rsidRPr="0072588B">
        <w:rPr>
          <w:rFonts w:ascii="Times New Roman" w:eastAsia="Times New Roman" w:hAnsi="Times New Roman" w:cs="Times New Roman"/>
          <w:color w:val="000000"/>
          <w:sz w:val="27"/>
          <w:szCs w:val="27"/>
          <w:lang w:eastAsia="es-AR"/>
        </w:rPr>
        <w:lastRenderedPageBreak/>
        <w:t xml:space="preserve">el </w:t>
      </w:r>
      <w:proofErr w:type="spellStart"/>
      <w:r w:rsidRPr="0072588B">
        <w:rPr>
          <w:rFonts w:ascii="Times New Roman" w:eastAsia="Times New Roman" w:hAnsi="Times New Roman" w:cs="Times New Roman"/>
          <w:color w:val="000000"/>
          <w:sz w:val="27"/>
          <w:szCs w:val="27"/>
          <w:lang w:eastAsia="es-AR"/>
        </w:rPr>
        <w:t>ante-impulso</w:t>
      </w:r>
      <w:proofErr w:type="spellEnd"/>
      <w:r w:rsidRPr="0072588B">
        <w:rPr>
          <w:rFonts w:ascii="Times New Roman" w:eastAsia="Times New Roman" w:hAnsi="Times New Roman" w:cs="Times New Roman"/>
          <w:color w:val="000000"/>
          <w:sz w:val="27"/>
          <w:szCs w:val="27"/>
          <w:lang w:eastAsia="es-AR"/>
        </w:rPr>
        <w:t xml:space="preserve"> que prepara al ejecutante para realizar una determinada acción: inclinarse para brincar, girar hacia la derecha para ir hacia la izquierda, desplazarse hacia atrás para ir hacia delante, etcétera. Barba utiliza este concepto de Meyerhold para referirse a la ley de oposición;</w:t>
      </w:r>
      <w:bookmarkStart w:id="19" w:name="nota20"/>
      <w:bookmarkEnd w:id="19"/>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20</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el actor ocupa en este caso una técnica extracotidiana estilizada, donde se hace visible la complejidad del diseño.</w:t>
      </w:r>
    </w:p>
    <w:p w14:paraId="0D07564E"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A su vez, el otkas (rechazo) es el </w:t>
      </w:r>
      <w:proofErr w:type="spellStart"/>
      <w:r w:rsidRPr="0072588B">
        <w:rPr>
          <w:rFonts w:ascii="Times New Roman" w:eastAsia="Times New Roman" w:hAnsi="Times New Roman" w:cs="Times New Roman"/>
          <w:color w:val="000000"/>
          <w:sz w:val="27"/>
          <w:szCs w:val="27"/>
          <w:lang w:eastAsia="es-AR"/>
        </w:rPr>
        <w:t>ante-impulso</w:t>
      </w:r>
      <w:proofErr w:type="spellEnd"/>
      <w:r w:rsidRPr="0072588B">
        <w:rPr>
          <w:rFonts w:ascii="Times New Roman" w:eastAsia="Times New Roman" w:hAnsi="Times New Roman" w:cs="Times New Roman"/>
          <w:color w:val="000000"/>
          <w:sz w:val="27"/>
          <w:szCs w:val="27"/>
          <w:lang w:eastAsia="es-AR"/>
        </w:rPr>
        <w:t xml:space="preserve"> para ejecutar la acción principal llamada posyl</w:t>
      </w:r>
      <w:bookmarkStart w:id="20" w:name="nota21"/>
      <w:bookmarkEnd w:id="20"/>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21</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(envío), la cual permite dibujar con el cuerpo la trayectoria de la acción en el espacio, finalizando controladamente a través del tormos</w:t>
      </w:r>
      <w:bookmarkStart w:id="21" w:name="nota22"/>
      <w:bookmarkEnd w:id="21"/>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22</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xml:space="preserve"> (freno). Una vez finalizada la acción, el tormos puede dar pie a que el siguiente movimiento se convierta, ya sea en un nuevo otkas o </w:t>
      </w:r>
      <w:proofErr w:type="spellStart"/>
      <w:r w:rsidRPr="0072588B">
        <w:rPr>
          <w:rFonts w:ascii="Times New Roman" w:eastAsia="Times New Roman" w:hAnsi="Times New Roman" w:cs="Times New Roman"/>
          <w:color w:val="000000"/>
          <w:sz w:val="27"/>
          <w:szCs w:val="27"/>
          <w:lang w:eastAsia="es-AR"/>
        </w:rPr>
        <w:t>ante-impulso</w:t>
      </w:r>
      <w:proofErr w:type="spellEnd"/>
      <w:r w:rsidRPr="0072588B">
        <w:rPr>
          <w:rFonts w:ascii="Times New Roman" w:eastAsia="Times New Roman" w:hAnsi="Times New Roman" w:cs="Times New Roman"/>
          <w:color w:val="000000"/>
          <w:sz w:val="27"/>
          <w:szCs w:val="27"/>
          <w:lang w:eastAsia="es-AR"/>
        </w:rPr>
        <w:t>, o bien en una stoika</w:t>
      </w:r>
      <w:bookmarkStart w:id="22" w:name="nota23"/>
      <w:bookmarkEnd w:id="22"/>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23</w:t>
      </w:r>
      <w:r w:rsidRPr="0072588B">
        <w:rPr>
          <w:rFonts w:ascii="Times New Roman" w:eastAsia="Times New Roman" w:hAnsi="Times New Roman" w:cs="Times New Roman"/>
          <w:color w:val="000000"/>
          <w:sz w:val="27"/>
          <w:szCs w:val="27"/>
          <w:lang w:eastAsia="es-AR"/>
        </w:rPr>
        <w:fldChar w:fldCharType="end"/>
      </w:r>
      <w:r w:rsidRPr="0072588B">
        <w:rPr>
          <w:rFonts w:ascii="Times New Roman" w:eastAsia="Times New Roman" w:hAnsi="Times New Roman" w:cs="Times New Roman"/>
          <w:color w:val="000000"/>
          <w:sz w:val="27"/>
          <w:szCs w:val="27"/>
          <w:lang w:eastAsia="es-AR"/>
        </w:rPr>
        <w:t xml:space="preserve"> (retención), en donde la energía de la acción queda en contención dinámica. En la antropología teatral se diría que la acción tiene </w:t>
      </w:r>
      <w:proofErr w:type="spellStart"/>
      <w:r w:rsidRPr="0072588B">
        <w:rPr>
          <w:rFonts w:ascii="Times New Roman" w:eastAsia="Times New Roman" w:hAnsi="Times New Roman" w:cs="Times New Roman"/>
          <w:color w:val="000000"/>
          <w:sz w:val="27"/>
          <w:szCs w:val="27"/>
          <w:lang w:eastAsia="es-AR"/>
        </w:rPr>
        <w:t>sat</w:t>
      </w:r>
      <w:proofErr w:type="spellEnd"/>
      <w:r w:rsidRPr="0072588B">
        <w:rPr>
          <w:rFonts w:ascii="Times New Roman" w:eastAsia="Times New Roman" w:hAnsi="Times New Roman" w:cs="Times New Roman"/>
          <w:color w:val="000000"/>
          <w:sz w:val="27"/>
          <w:szCs w:val="27"/>
          <w:lang w:eastAsia="es-AR"/>
        </w:rPr>
        <w:t>.</w:t>
      </w:r>
    </w:p>
    <w:p w14:paraId="6D86ACF9"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Este sistema de Meyerhold considera múltiples ciclos otkas-</w:t>
      </w:r>
      <w:proofErr w:type="spellStart"/>
      <w:r w:rsidRPr="0072588B">
        <w:rPr>
          <w:rFonts w:ascii="Times New Roman" w:eastAsia="Times New Roman" w:hAnsi="Times New Roman" w:cs="Times New Roman"/>
          <w:color w:val="000000"/>
          <w:sz w:val="27"/>
          <w:szCs w:val="27"/>
          <w:lang w:eastAsia="es-AR"/>
        </w:rPr>
        <w:t>posyl</w:t>
      </w:r>
      <w:proofErr w:type="spellEnd"/>
      <w:r w:rsidRPr="0072588B">
        <w:rPr>
          <w:rFonts w:ascii="Times New Roman" w:eastAsia="Times New Roman" w:hAnsi="Times New Roman" w:cs="Times New Roman"/>
          <w:color w:val="000000"/>
          <w:sz w:val="27"/>
          <w:szCs w:val="27"/>
          <w:lang w:eastAsia="es-AR"/>
        </w:rPr>
        <w:t>-tormos-</w:t>
      </w:r>
      <w:proofErr w:type="spellStart"/>
      <w:r w:rsidRPr="0072588B">
        <w:rPr>
          <w:rFonts w:ascii="Times New Roman" w:eastAsia="Times New Roman" w:hAnsi="Times New Roman" w:cs="Times New Roman"/>
          <w:color w:val="000000"/>
          <w:sz w:val="27"/>
          <w:szCs w:val="27"/>
          <w:lang w:eastAsia="es-AR"/>
        </w:rPr>
        <w:t>stoika</w:t>
      </w:r>
      <w:proofErr w:type="spellEnd"/>
      <w:r w:rsidRPr="0072588B">
        <w:rPr>
          <w:rFonts w:ascii="Times New Roman" w:eastAsia="Times New Roman" w:hAnsi="Times New Roman" w:cs="Times New Roman"/>
          <w:color w:val="000000"/>
          <w:sz w:val="27"/>
          <w:szCs w:val="27"/>
          <w:lang w:eastAsia="es-AR"/>
        </w:rPr>
        <w:t>, los cuales permiten transitar a nuevas acciones y constituyen “la sístole y diástole que mantiene el pulso rítmico de las acciones del actor biomecánico” (Ruiz 127).</w:t>
      </w:r>
    </w:p>
    <w:p w14:paraId="435D005C" w14:textId="77777777" w:rsidR="0072588B" w:rsidRPr="00883BD7" w:rsidRDefault="0072588B" w:rsidP="0072588B">
      <w:pPr>
        <w:spacing w:before="100" w:beforeAutospacing="1" w:after="100" w:afterAutospacing="1" w:line="240" w:lineRule="auto"/>
        <w:rPr>
          <w:rFonts w:ascii="Times New Roman" w:eastAsia="Times New Roman" w:hAnsi="Times New Roman" w:cs="Times New Roman"/>
          <w:b/>
          <w:bCs/>
          <w:color w:val="000000"/>
          <w:sz w:val="27"/>
          <w:szCs w:val="27"/>
          <w:lang w:eastAsia="es-AR"/>
        </w:rPr>
      </w:pPr>
      <w:r w:rsidRPr="00883BD7">
        <w:rPr>
          <w:rFonts w:ascii="Times New Roman" w:eastAsia="Times New Roman" w:hAnsi="Times New Roman" w:cs="Times New Roman"/>
          <w:b/>
          <w:bCs/>
          <w:color w:val="000000"/>
          <w:sz w:val="27"/>
          <w:szCs w:val="27"/>
          <w:lang w:eastAsia="es-AR"/>
        </w:rPr>
        <w:t>Meyerhold intercultural y la antropología teatral</w:t>
      </w:r>
    </w:p>
    <w:p w14:paraId="61E3AD00"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Gracias a sus precursores, la antropología teatral deriva de otras tradiciones interpretativas del Oriente (de rasgos estilizados) indicaciones útiles para el actor. El trabajo preciso y de carácter intensamente corporal y técnico de tales tradiciones motivó a nuestros maestros a indagar en los principios recurrentes a través de ellas. Desde Meyerhold con el teatro japonés, </w:t>
      </w:r>
      <w:proofErr w:type="spellStart"/>
      <w:r w:rsidRPr="0072588B">
        <w:rPr>
          <w:rFonts w:ascii="Times New Roman" w:eastAsia="Times New Roman" w:hAnsi="Times New Roman" w:cs="Times New Roman"/>
          <w:color w:val="000000"/>
          <w:sz w:val="27"/>
          <w:szCs w:val="27"/>
          <w:lang w:eastAsia="es-AR"/>
        </w:rPr>
        <w:t>Antonin</w:t>
      </w:r>
      <w:proofErr w:type="spellEnd"/>
      <w:r w:rsidRPr="0072588B">
        <w:rPr>
          <w:rFonts w:ascii="Times New Roman" w:eastAsia="Times New Roman" w:hAnsi="Times New Roman" w:cs="Times New Roman"/>
          <w:color w:val="000000"/>
          <w:sz w:val="27"/>
          <w:szCs w:val="27"/>
          <w:lang w:eastAsia="es-AR"/>
        </w:rPr>
        <w:t xml:space="preserve"> Artaud con las danzas balinesas, </w:t>
      </w:r>
      <w:proofErr w:type="spellStart"/>
      <w:r w:rsidRPr="0072588B">
        <w:rPr>
          <w:rFonts w:ascii="Times New Roman" w:eastAsia="Times New Roman" w:hAnsi="Times New Roman" w:cs="Times New Roman"/>
          <w:color w:val="000000"/>
          <w:sz w:val="27"/>
          <w:szCs w:val="27"/>
          <w:lang w:eastAsia="es-AR"/>
        </w:rPr>
        <w:t>Beltrot</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Brecth</w:t>
      </w:r>
      <w:proofErr w:type="spellEnd"/>
      <w:r w:rsidRPr="0072588B">
        <w:rPr>
          <w:rFonts w:ascii="Times New Roman" w:eastAsia="Times New Roman" w:hAnsi="Times New Roman" w:cs="Times New Roman"/>
          <w:color w:val="000000"/>
          <w:sz w:val="27"/>
          <w:szCs w:val="27"/>
          <w:lang w:eastAsia="es-AR"/>
        </w:rPr>
        <w:t xml:space="preserve"> con el teatro chino, y Grotowski en la India el ver más allá de Occidente ha sido una constante durante el último siglo.</w:t>
      </w:r>
    </w:p>
    <w:p w14:paraId="7670C232"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En el desarrollo de su propuesta, Meyerhold llevó a cabo un viaje transcultural, recurriendo tanto a referencias orientales (como el kabuki, el </w:t>
      </w:r>
      <w:proofErr w:type="spellStart"/>
      <w:r w:rsidRPr="0072588B">
        <w:rPr>
          <w:rFonts w:ascii="Times New Roman" w:eastAsia="Times New Roman" w:hAnsi="Times New Roman" w:cs="Times New Roman"/>
          <w:color w:val="000000"/>
          <w:sz w:val="27"/>
          <w:szCs w:val="27"/>
          <w:lang w:eastAsia="es-AR"/>
        </w:rPr>
        <w:t>nô</w:t>
      </w:r>
      <w:proofErr w:type="spellEnd"/>
      <w:r w:rsidRPr="0072588B">
        <w:rPr>
          <w:rFonts w:ascii="Times New Roman" w:eastAsia="Times New Roman" w:hAnsi="Times New Roman" w:cs="Times New Roman"/>
          <w:color w:val="000000"/>
          <w:sz w:val="27"/>
          <w:szCs w:val="27"/>
          <w:lang w:eastAsia="es-AR"/>
        </w:rPr>
        <w:t>, la Ópera de Pekín), como occidentales (</w:t>
      </w:r>
      <w:proofErr w:type="spellStart"/>
      <w:r w:rsidRPr="0072588B">
        <w:rPr>
          <w:rFonts w:ascii="Times New Roman" w:eastAsia="Times New Roman" w:hAnsi="Times New Roman" w:cs="Times New Roman"/>
          <w:color w:val="000000"/>
          <w:sz w:val="27"/>
          <w:szCs w:val="27"/>
          <w:lang w:eastAsia="es-AR"/>
        </w:rPr>
        <w:t>Commedia</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dell’Arte</w:t>
      </w:r>
      <w:proofErr w:type="spellEnd"/>
      <w:r w:rsidRPr="0072588B">
        <w:rPr>
          <w:rFonts w:ascii="Times New Roman" w:eastAsia="Times New Roman" w:hAnsi="Times New Roman" w:cs="Times New Roman"/>
          <w:color w:val="000000"/>
          <w:sz w:val="27"/>
          <w:szCs w:val="27"/>
          <w:lang w:eastAsia="es-AR"/>
        </w:rPr>
        <w:t xml:space="preserve"> y circo, por ejemplo). Así, encuentra unos principios que retornan, constituyendo claves para que el actor sepa cómo moverse en el escenario. La danza, por ejemplo, ya no es un arte separado del teatro, sino un modo de intervenir dentro del mismo.</w:t>
      </w:r>
    </w:p>
    <w:p w14:paraId="5ED6F944"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En la misma línea, Barba recurre a autores que se dirigen a Oriente para encontrar principios recurrentes en sus respectivas técnicas teatrales, desarrollando una nueva visión que sintetizaría posteriormente en su antropología teatral. Tal vez sea Meyerhold el autor con quien más se identifica: “Jerzy Grotowski, Eugenio Barba, y en algún sentido también Peter </w:t>
      </w:r>
      <w:r w:rsidRPr="0072588B">
        <w:rPr>
          <w:rFonts w:ascii="Times New Roman" w:eastAsia="Times New Roman" w:hAnsi="Times New Roman" w:cs="Times New Roman"/>
          <w:color w:val="000000"/>
          <w:sz w:val="27"/>
          <w:szCs w:val="27"/>
          <w:lang w:eastAsia="es-AR"/>
        </w:rPr>
        <w:lastRenderedPageBreak/>
        <w:t>Brook, aparecen como el punto de llegada de la tradición que ha sido llamada de los ‘directores pedagogos’, según la expresión acuñada por Meyerhold” (De Marinis 14).</w:t>
      </w:r>
    </w:p>
    <w:p w14:paraId="78257E57"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Meyerhold no se preocupó solamente por la técnica teatral, sino que, en su interés por encontrar esos principios que retornan, propuso el concepto de </w:t>
      </w:r>
      <w:proofErr w:type="spellStart"/>
      <w:r w:rsidRPr="0072588B">
        <w:rPr>
          <w:rFonts w:ascii="Times New Roman" w:eastAsia="Times New Roman" w:hAnsi="Times New Roman" w:cs="Times New Roman"/>
          <w:color w:val="000000"/>
          <w:sz w:val="27"/>
          <w:szCs w:val="27"/>
          <w:lang w:eastAsia="es-AR"/>
        </w:rPr>
        <w:t>escenología</w:t>
      </w:r>
      <w:proofErr w:type="spellEnd"/>
      <w:r w:rsidRPr="0072588B">
        <w:rPr>
          <w:rFonts w:ascii="Times New Roman" w:eastAsia="Times New Roman" w:hAnsi="Times New Roman" w:cs="Times New Roman"/>
          <w:color w:val="000000"/>
          <w:sz w:val="27"/>
          <w:szCs w:val="27"/>
          <w:lang w:eastAsia="es-AR"/>
        </w:rPr>
        <w:t>, en alusión a la ciencia y teoría de la puesta en escena. Se trataría de una ciencia que abarca todos los elementos involucrados en la creación de una puesta en escena (dramaturgia, dirección, actuación y escenografía), como lo hace actualmente también la llamada etnoescenología.</w:t>
      </w:r>
      <w:bookmarkStart w:id="23" w:name="nota26"/>
      <w:bookmarkEnd w:id="23"/>
      <w:r w:rsidRPr="0072588B">
        <w:rPr>
          <w:rFonts w:ascii="Times New Roman" w:eastAsia="Times New Roman" w:hAnsi="Times New Roman" w:cs="Times New Roman"/>
          <w:color w:val="000000"/>
          <w:sz w:val="27"/>
          <w:szCs w:val="27"/>
          <w:lang w:eastAsia="es-AR"/>
        </w:rPr>
        <w:fldChar w:fldCharType="begin"/>
      </w:r>
      <w:r w:rsidRPr="0072588B">
        <w:rPr>
          <w:rFonts w:ascii="Times New Roman" w:eastAsia="Times New Roman" w:hAnsi="Times New Roman" w:cs="Times New Roman"/>
          <w:color w:val="000000"/>
          <w:sz w:val="27"/>
          <w:szCs w:val="27"/>
          <w:lang w:eastAsia="es-AR"/>
        </w:rPr>
        <w:instrText xml:space="preserve"> HYPERLINK "http://investigacionteatral.uv.mx/index.php/investigacionteatral/article/view/2589/4512" \l "nota" </w:instrText>
      </w:r>
      <w:r w:rsidRPr="0072588B">
        <w:rPr>
          <w:rFonts w:ascii="Times New Roman" w:eastAsia="Times New Roman" w:hAnsi="Times New Roman" w:cs="Times New Roman"/>
          <w:color w:val="000000"/>
          <w:sz w:val="27"/>
          <w:szCs w:val="27"/>
          <w:lang w:eastAsia="es-AR"/>
        </w:rPr>
        <w:fldChar w:fldCharType="separate"/>
      </w:r>
      <w:r w:rsidRPr="0072588B">
        <w:rPr>
          <w:rFonts w:ascii="Times New Roman" w:eastAsia="Times New Roman" w:hAnsi="Times New Roman" w:cs="Times New Roman"/>
          <w:color w:val="0000FF"/>
          <w:sz w:val="27"/>
          <w:szCs w:val="27"/>
          <w:u w:val="single"/>
          <w:lang w:eastAsia="es-AR"/>
        </w:rPr>
        <w:t>26</w:t>
      </w:r>
      <w:r w:rsidRPr="0072588B">
        <w:rPr>
          <w:rFonts w:ascii="Times New Roman" w:eastAsia="Times New Roman" w:hAnsi="Times New Roman" w:cs="Times New Roman"/>
          <w:color w:val="000000"/>
          <w:sz w:val="27"/>
          <w:szCs w:val="27"/>
          <w:lang w:eastAsia="es-AR"/>
        </w:rPr>
        <w:fldChar w:fldCharType="end"/>
      </w:r>
    </w:p>
    <w:p w14:paraId="516CCB3D"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Específicamente en el nivel que precede al drama, como se ha visto, Meyerhold alude a algunos elementos que pueden entenderse mejor con la ayuda de la antropología teatral de Eugenio Barba (posturas inestables, equilibrio y desequilibrio, ley de los contrarios, energía que danza, técnica cotidiana, técnica extracotidiana, aculturación, principios de equivalencia). A su vez, Barba reconoce que: “Los principios del grotesco, es decir, la biomecánica, no fueron suposiciones fortuitas, sino la ingeniosa interpretación de los mismos principios que hoy, a la luz de la antropología teatral, reencontramos en la base del nivel pre-expresivo del actor” (Barba y </w:t>
      </w:r>
      <w:proofErr w:type="spellStart"/>
      <w:r w:rsidRPr="0072588B">
        <w:rPr>
          <w:rFonts w:ascii="Times New Roman" w:eastAsia="Times New Roman" w:hAnsi="Times New Roman" w:cs="Times New Roman"/>
          <w:color w:val="000000"/>
          <w:sz w:val="27"/>
          <w:szCs w:val="27"/>
          <w:lang w:eastAsia="es-AR"/>
        </w:rPr>
        <w:t>Savarese</w:t>
      </w:r>
      <w:proofErr w:type="spellEnd"/>
      <w:r w:rsidRPr="0072588B">
        <w:rPr>
          <w:rFonts w:ascii="Times New Roman" w:eastAsia="Times New Roman" w:hAnsi="Times New Roman" w:cs="Times New Roman"/>
          <w:color w:val="000000"/>
          <w:sz w:val="27"/>
          <w:szCs w:val="27"/>
          <w:lang w:eastAsia="es-AR"/>
        </w:rPr>
        <w:t xml:space="preserve"> 180).</w:t>
      </w:r>
    </w:p>
    <w:p w14:paraId="55BDB1E9"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Recapitulación y conclusiones</w:t>
      </w:r>
    </w:p>
    <w:p w14:paraId="695F0DCF" w14:textId="77777777" w:rsidR="0072588B" w:rsidRPr="0072588B" w:rsidRDefault="0072588B" w:rsidP="0072588B">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El interés de Meyerhold por la plástica y la estilización de la realidad le llevaron a concebir un nuevo teatro de “convención consciente”, que en su concepto podía remediar la indisciplina actoral del teatro naturalista, promoviendo la disciplina en un “realismo convencional”.</w:t>
      </w:r>
    </w:p>
    <w:p w14:paraId="7EA1BA0D" w14:textId="77777777" w:rsidR="0072588B" w:rsidRPr="0072588B" w:rsidRDefault="0072588B" w:rsidP="0072588B">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El grotesco le permitió a Meyerhold aproximarse de forma insólita a la vida cotidiana. La técnica cotidiana se transforma aquí por medio de la exploración de los contrarios, la cual pone en escena un contraste que implica una estilización de la realidad, llevando al espectador a resolver “el enigma de lo incomprensible”.</w:t>
      </w:r>
    </w:p>
    <w:p w14:paraId="1D6B8E98" w14:textId="77777777" w:rsidR="0072588B" w:rsidRPr="0072588B" w:rsidRDefault="0072588B" w:rsidP="0072588B">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La biomecánica le permitió al actor adiestrar sus bases materiales por medio de una sinuosa técnica extracotidiana aculturada, tanto en aspectos físicos como psicológicos. Los aspectos mentales son estudiados desde las leyes de la mecánica, donde toda acción hace partícipe al cuerpo entero.</w:t>
      </w:r>
    </w:p>
    <w:p w14:paraId="424A1916" w14:textId="77777777" w:rsidR="0072588B" w:rsidRPr="0072588B" w:rsidRDefault="0072588B" w:rsidP="0072588B">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La partitura mecánica otkas-</w:t>
      </w:r>
      <w:proofErr w:type="spellStart"/>
      <w:r w:rsidRPr="0072588B">
        <w:rPr>
          <w:rFonts w:ascii="Times New Roman" w:eastAsia="Times New Roman" w:hAnsi="Times New Roman" w:cs="Times New Roman"/>
          <w:color w:val="000000"/>
          <w:sz w:val="27"/>
          <w:szCs w:val="27"/>
          <w:lang w:eastAsia="es-AR"/>
        </w:rPr>
        <w:t>posyl</w:t>
      </w:r>
      <w:proofErr w:type="spellEnd"/>
      <w:r w:rsidRPr="0072588B">
        <w:rPr>
          <w:rFonts w:ascii="Times New Roman" w:eastAsia="Times New Roman" w:hAnsi="Times New Roman" w:cs="Times New Roman"/>
          <w:color w:val="000000"/>
          <w:sz w:val="27"/>
          <w:szCs w:val="27"/>
          <w:lang w:eastAsia="es-AR"/>
        </w:rPr>
        <w:t>-tormos-</w:t>
      </w:r>
      <w:proofErr w:type="spellStart"/>
      <w:r w:rsidRPr="0072588B">
        <w:rPr>
          <w:rFonts w:ascii="Times New Roman" w:eastAsia="Times New Roman" w:hAnsi="Times New Roman" w:cs="Times New Roman"/>
          <w:color w:val="000000"/>
          <w:sz w:val="27"/>
          <w:szCs w:val="27"/>
          <w:lang w:eastAsia="es-AR"/>
        </w:rPr>
        <w:t>stoika</w:t>
      </w:r>
      <w:proofErr w:type="spellEnd"/>
      <w:r w:rsidRPr="0072588B">
        <w:rPr>
          <w:rFonts w:ascii="Times New Roman" w:eastAsia="Times New Roman" w:hAnsi="Times New Roman" w:cs="Times New Roman"/>
          <w:color w:val="000000"/>
          <w:sz w:val="27"/>
          <w:szCs w:val="27"/>
          <w:lang w:eastAsia="es-AR"/>
        </w:rPr>
        <w:t>, permitió al actor conocer, controlar y utilizar su cuerpo con una dinámica “económica” (expresada en la fórmula N = A1 + A2). Desde el punto de vista expresivo, el actor pudo desarrollar con ello una “segunda técnica”, diferente a la cotidiana, para poder ejecutar instantáneamente las órdenes del director y del autor. Es por ello –y no porque se implique un menor gasto de energía–, por lo que se habla de “economía”.</w:t>
      </w:r>
    </w:p>
    <w:p w14:paraId="159EEF2E"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lastRenderedPageBreak/>
        <w:t>Fuentes consultas</w:t>
      </w:r>
    </w:p>
    <w:p w14:paraId="0D4A7142"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Barba, Eugenio y Nicola </w:t>
      </w:r>
      <w:proofErr w:type="spellStart"/>
      <w:r w:rsidRPr="0072588B">
        <w:rPr>
          <w:rFonts w:ascii="Times New Roman" w:eastAsia="Times New Roman" w:hAnsi="Times New Roman" w:cs="Times New Roman"/>
          <w:color w:val="000000"/>
          <w:sz w:val="27"/>
          <w:szCs w:val="27"/>
          <w:lang w:eastAsia="es-AR"/>
        </w:rPr>
        <w:t>Savarese</w:t>
      </w:r>
      <w:proofErr w:type="spellEnd"/>
      <w:r w:rsidRPr="0072588B">
        <w:rPr>
          <w:rFonts w:ascii="Times New Roman" w:eastAsia="Times New Roman" w:hAnsi="Times New Roman" w:cs="Times New Roman"/>
          <w:color w:val="000000"/>
          <w:sz w:val="27"/>
          <w:szCs w:val="27"/>
          <w:lang w:eastAsia="es-AR"/>
        </w:rPr>
        <w:t>. El arte secreto del actor. 4ª ed. Traducido por Raúl Iza, et al. Lima: San Marcos, 2010.</w:t>
      </w:r>
    </w:p>
    <w:p w14:paraId="7BE7B7A1"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Barba, Eugenio. La canoa de papel. Tratado de Antropología Teatral. Traducido por Rina </w:t>
      </w:r>
      <w:proofErr w:type="spellStart"/>
      <w:r w:rsidRPr="0072588B">
        <w:rPr>
          <w:rFonts w:ascii="Times New Roman" w:eastAsia="Times New Roman" w:hAnsi="Times New Roman" w:cs="Times New Roman"/>
          <w:color w:val="000000"/>
          <w:sz w:val="27"/>
          <w:szCs w:val="27"/>
          <w:lang w:eastAsia="es-AR"/>
        </w:rPr>
        <w:t>Skeel</w:t>
      </w:r>
      <w:proofErr w:type="spellEnd"/>
      <w:r w:rsidRPr="0072588B">
        <w:rPr>
          <w:rFonts w:ascii="Times New Roman" w:eastAsia="Times New Roman" w:hAnsi="Times New Roman" w:cs="Times New Roman"/>
          <w:color w:val="000000"/>
          <w:sz w:val="27"/>
          <w:szCs w:val="27"/>
          <w:lang w:eastAsia="es-AR"/>
        </w:rPr>
        <w:t>. Buenos Aires: Catálogos Editora, 1994.</w:t>
      </w:r>
    </w:p>
    <w:p w14:paraId="037CA6B6"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Barba, Eugenio. “La conferencia de Santiago (</w:t>
      </w:r>
      <w:proofErr w:type="spellStart"/>
      <w:r w:rsidRPr="0072588B">
        <w:rPr>
          <w:rFonts w:ascii="Times New Roman" w:eastAsia="Times New Roman" w:hAnsi="Times New Roman" w:cs="Times New Roman"/>
          <w:color w:val="000000"/>
          <w:sz w:val="27"/>
          <w:szCs w:val="27"/>
          <w:lang w:eastAsia="es-AR"/>
        </w:rPr>
        <w:t>Lecture</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on</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Theatre</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Anthropology</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Given</w:t>
      </w:r>
      <w:proofErr w:type="spellEnd"/>
      <w:r w:rsidRPr="0072588B">
        <w:rPr>
          <w:rFonts w:ascii="Times New Roman" w:eastAsia="Times New Roman" w:hAnsi="Times New Roman" w:cs="Times New Roman"/>
          <w:color w:val="000000"/>
          <w:sz w:val="27"/>
          <w:szCs w:val="27"/>
          <w:lang w:eastAsia="es-AR"/>
        </w:rPr>
        <w:t xml:space="preserve"> in Santiago, </w:t>
      </w:r>
      <w:proofErr w:type="spellStart"/>
      <w:r w:rsidRPr="0072588B">
        <w:rPr>
          <w:rFonts w:ascii="Times New Roman" w:eastAsia="Times New Roman" w:hAnsi="Times New Roman" w:cs="Times New Roman"/>
          <w:color w:val="000000"/>
          <w:sz w:val="27"/>
          <w:szCs w:val="27"/>
          <w:lang w:eastAsia="es-AR"/>
        </w:rPr>
        <w:t>December</w:t>
      </w:r>
      <w:proofErr w:type="spellEnd"/>
      <w:r w:rsidRPr="0072588B">
        <w:rPr>
          <w:rFonts w:ascii="Times New Roman" w:eastAsia="Times New Roman" w:hAnsi="Times New Roman" w:cs="Times New Roman"/>
          <w:color w:val="000000"/>
          <w:sz w:val="27"/>
          <w:szCs w:val="27"/>
          <w:lang w:eastAsia="es-AR"/>
        </w:rPr>
        <w:t xml:space="preserve"> 1988)”. Apuntes de Teatro, núm. 99, 1988, pp. 87-95.</w:t>
      </w:r>
    </w:p>
    <w:p w14:paraId="6014341C"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Barba, Eugenio. Más allá de las islas flotantes. Traducido por Toni </w:t>
      </w:r>
      <w:proofErr w:type="spellStart"/>
      <w:r w:rsidRPr="0072588B">
        <w:rPr>
          <w:rFonts w:ascii="Times New Roman" w:eastAsia="Times New Roman" w:hAnsi="Times New Roman" w:cs="Times New Roman"/>
          <w:color w:val="000000"/>
          <w:sz w:val="27"/>
          <w:szCs w:val="27"/>
          <w:lang w:eastAsia="es-AR"/>
        </w:rPr>
        <w:t>Cots</w:t>
      </w:r>
      <w:proofErr w:type="spellEnd"/>
      <w:r w:rsidRPr="0072588B">
        <w:rPr>
          <w:rFonts w:ascii="Times New Roman" w:eastAsia="Times New Roman" w:hAnsi="Times New Roman" w:cs="Times New Roman"/>
          <w:color w:val="000000"/>
          <w:sz w:val="27"/>
          <w:szCs w:val="27"/>
          <w:lang w:eastAsia="es-AR"/>
        </w:rPr>
        <w:t xml:space="preserve">. Ciudad de México, México: </w:t>
      </w:r>
      <w:proofErr w:type="spellStart"/>
      <w:r w:rsidRPr="0072588B">
        <w:rPr>
          <w:rFonts w:ascii="Times New Roman" w:eastAsia="Times New Roman" w:hAnsi="Times New Roman" w:cs="Times New Roman"/>
          <w:color w:val="000000"/>
          <w:sz w:val="27"/>
          <w:szCs w:val="27"/>
          <w:lang w:eastAsia="es-AR"/>
        </w:rPr>
        <w:t>Escenología</w:t>
      </w:r>
      <w:proofErr w:type="spellEnd"/>
      <w:r w:rsidRPr="0072588B">
        <w:rPr>
          <w:rFonts w:ascii="Times New Roman" w:eastAsia="Times New Roman" w:hAnsi="Times New Roman" w:cs="Times New Roman"/>
          <w:color w:val="000000"/>
          <w:sz w:val="27"/>
          <w:szCs w:val="27"/>
          <w:lang w:eastAsia="es-AR"/>
        </w:rPr>
        <w:t xml:space="preserve"> A.C., 1986.</w:t>
      </w:r>
    </w:p>
    <w:p w14:paraId="02200585"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Craig, Gordon. El arte del teatro. Traducido por M. </w:t>
      </w:r>
      <w:proofErr w:type="spellStart"/>
      <w:r w:rsidRPr="0072588B">
        <w:rPr>
          <w:rFonts w:ascii="Times New Roman" w:eastAsia="Times New Roman" w:hAnsi="Times New Roman" w:cs="Times New Roman"/>
          <w:color w:val="000000"/>
          <w:sz w:val="27"/>
          <w:szCs w:val="27"/>
          <w:lang w:eastAsia="es-AR"/>
        </w:rPr>
        <w:t>Margherita</w:t>
      </w:r>
      <w:proofErr w:type="spellEnd"/>
      <w:r w:rsidRPr="0072588B">
        <w:rPr>
          <w:rFonts w:ascii="Times New Roman" w:eastAsia="Times New Roman" w:hAnsi="Times New Roman" w:cs="Times New Roman"/>
          <w:color w:val="000000"/>
          <w:sz w:val="27"/>
          <w:szCs w:val="27"/>
          <w:lang w:eastAsia="es-AR"/>
        </w:rPr>
        <w:t xml:space="preserve"> Pavía. Ciudad de México: Grupo Editorial Gaceta, 1987.</w:t>
      </w:r>
    </w:p>
    <w:p w14:paraId="21806FA6"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De Marinis, Marco. La parábola de Grotowski: el secreto del ‘</w:t>
      </w:r>
      <w:proofErr w:type="spellStart"/>
      <w:r w:rsidRPr="0072588B">
        <w:rPr>
          <w:rFonts w:ascii="Times New Roman" w:eastAsia="Times New Roman" w:hAnsi="Times New Roman" w:cs="Times New Roman"/>
          <w:color w:val="000000"/>
          <w:sz w:val="27"/>
          <w:szCs w:val="27"/>
          <w:lang w:eastAsia="es-AR"/>
        </w:rPr>
        <w:t>novecento</w:t>
      </w:r>
      <w:proofErr w:type="spellEnd"/>
      <w:r w:rsidRPr="0072588B">
        <w:rPr>
          <w:rFonts w:ascii="Times New Roman" w:eastAsia="Times New Roman" w:hAnsi="Times New Roman" w:cs="Times New Roman"/>
          <w:color w:val="000000"/>
          <w:sz w:val="27"/>
          <w:szCs w:val="27"/>
          <w:lang w:eastAsia="es-AR"/>
        </w:rPr>
        <w:t xml:space="preserve">’ teatral. Traducido por Silvina Diaz, Claudia y Adriana </w:t>
      </w:r>
      <w:proofErr w:type="spellStart"/>
      <w:r w:rsidRPr="0072588B">
        <w:rPr>
          <w:rFonts w:ascii="Times New Roman" w:eastAsia="Times New Roman" w:hAnsi="Times New Roman" w:cs="Times New Roman"/>
          <w:color w:val="000000"/>
          <w:sz w:val="27"/>
          <w:szCs w:val="27"/>
          <w:lang w:eastAsia="es-AR"/>
        </w:rPr>
        <w:t>Castagnini</w:t>
      </w:r>
      <w:proofErr w:type="spellEnd"/>
      <w:r w:rsidRPr="0072588B">
        <w:rPr>
          <w:rFonts w:ascii="Times New Roman" w:eastAsia="Times New Roman" w:hAnsi="Times New Roman" w:cs="Times New Roman"/>
          <w:color w:val="000000"/>
          <w:sz w:val="27"/>
          <w:szCs w:val="27"/>
          <w:lang w:eastAsia="es-AR"/>
        </w:rPr>
        <w:t>. Buenos Aires: Editorial Galerna, 2004.</w:t>
      </w:r>
    </w:p>
    <w:p w14:paraId="5747ECDA"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De Toro, Fernando. Semiótica y teatro latinoamericano. Buenos Aires: Grupo Editorial Galerna / Instituto Internacional de Teoría y Crítica de Teatro Latinoamericano, 1990.</w:t>
      </w:r>
    </w:p>
    <w:p w14:paraId="7D5644DA"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proofErr w:type="spellStart"/>
      <w:r w:rsidRPr="0072588B">
        <w:rPr>
          <w:rFonts w:ascii="Times New Roman" w:eastAsia="Times New Roman" w:hAnsi="Times New Roman" w:cs="Times New Roman"/>
          <w:color w:val="000000"/>
          <w:sz w:val="27"/>
          <w:szCs w:val="27"/>
          <w:lang w:eastAsia="es-AR"/>
        </w:rPr>
        <w:t>Law</w:t>
      </w:r>
      <w:proofErr w:type="spellEnd"/>
      <w:r w:rsidRPr="0072588B">
        <w:rPr>
          <w:rFonts w:ascii="Times New Roman" w:eastAsia="Times New Roman" w:hAnsi="Times New Roman" w:cs="Times New Roman"/>
          <w:color w:val="000000"/>
          <w:sz w:val="27"/>
          <w:szCs w:val="27"/>
          <w:lang w:eastAsia="es-AR"/>
        </w:rPr>
        <w:t xml:space="preserve">, Alma y Mel Gordon. Meyerhold, Eisenstein and </w:t>
      </w:r>
      <w:proofErr w:type="spellStart"/>
      <w:r w:rsidRPr="0072588B">
        <w:rPr>
          <w:rFonts w:ascii="Times New Roman" w:eastAsia="Times New Roman" w:hAnsi="Times New Roman" w:cs="Times New Roman"/>
          <w:color w:val="000000"/>
          <w:sz w:val="27"/>
          <w:szCs w:val="27"/>
          <w:lang w:eastAsia="es-AR"/>
        </w:rPr>
        <w:t>Biomechanics</w:t>
      </w:r>
      <w:proofErr w:type="spellEnd"/>
      <w:r w:rsidRPr="0072588B">
        <w:rPr>
          <w:rFonts w:ascii="Times New Roman" w:eastAsia="Times New Roman" w:hAnsi="Times New Roman" w:cs="Times New Roman"/>
          <w:color w:val="000000"/>
          <w:sz w:val="27"/>
          <w:szCs w:val="27"/>
          <w:lang w:eastAsia="es-AR"/>
        </w:rPr>
        <w:t xml:space="preserve">: Actor Training in </w:t>
      </w:r>
      <w:proofErr w:type="spellStart"/>
      <w:r w:rsidRPr="0072588B">
        <w:rPr>
          <w:rFonts w:ascii="Times New Roman" w:eastAsia="Times New Roman" w:hAnsi="Times New Roman" w:cs="Times New Roman"/>
          <w:color w:val="000000"/>
          <w:sz w:val="27"/>
          <w:szCs w:val="27"/>
          <w:lang w:eastAsia="es-AR"/>
        </w:rPr>
        <w:t>Revolutionary</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Russia</w:t>
      </w:r>
      <w:proofErr w:type="spellEnd"/>
      <w:r w:rsidRPr="0072588B">
        <w:rPr>
          <w:rFonts w:ascii="Times New Roman" w:eastAsia="Times New Roman" w:hAnsi="Times New Roman" w:cs="Times New Roman"/>
          <w:color w:val="000000"/>
          <w:sz w:val="27"/>
          <w:szCs w:val="27"/>
          <w:lang w:eastAsia="es-AR"/>
        </w:rPr>
        <w:t>. North Carolina: McFarland, 1996.</w:t>
      </w:r>
    </w:p>
    <w:p w14:paraId="719C6158"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Leach, Robert. “Meyerhold and </w:t>
      </w:r>
      <w:proofErr w:type="spellStart"/>
      <w:r w:rsidRPr="0072588B">
        <w:rPr>
          <w:rFonts w:ascii="Times New Roman" w:eastAsia="Times New Roman" w:hAnsi="Times New Roman" w:cs="Times New Roman"/>
          <w:color w:val="000000"/>
          <w:sz w:val="27"/>
          <w:szCs w:val="27"/>
          <w:lang w:eastAsia="es-AR"/>
        </w:rPr>
        <w:t>Biomechanics</w:t>
      </w:r>
      <w:proofErr w:type="spellEnd"/>
      <w:r w:rsidRPr="0072588B">
        <w:rPr>
          <w:rFonts w:ascii="Times New Roman" w:eastAsia="Times New Roman" w:hAnsi="Times New Roman" w:cs="Times New Roman"/>
          <w:color w:val="000000"/>
          <w:sz w:val="27"/>
          <w:szCs w:val="27"/>
          <w:lang w:eastAsia="es-AR"/>
        </w:rPr>
        <w:t>”. Actor Training, editado por Alison Hodge. ٢ª ed. London: Taylor &amp; Francis e-Library, 2010, pp. 26-42.</w:t>
      </w:r>
    </w:p>
    <w:p w14:paraId="174F5A71"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Mauss, Marcel. Sociología y antropología. Traducido por Teresa Rubio y Martín Retortillo. Madrid: Editorial </w:t>
      </w:r>
      <w:proofErr w:type="spellStart"/>
      <w:r w:rsidRPr="0072588B">
        <w:rPr>
          <w:rFonts w:ascii="Times New Roman" w:eastAsia="Times New Roman" w:hAnsi="Times New Roman" w:cs="Times New Roman"/>
          <w:color w:val="000000"/>
          <w:sz w:val="27"/>
          <w:szCs w:val="27"/>
          <w:lang w:eastAsia="es-AR"/>
        </w:rPr>
        <w:t>Técnos</w:t>
      </w:r>
      <w:proofErr w:type="spellEnd"/>
      <w:r w:rsidRPr="0072588B">
        <w:rPr>
          <w:rFonts w:ascii="Times New Roman" w:eastAsia="Times New Roman" w:hAnsi="Times New Roman" w:cs="Times New Roman"/>
          <w:color w:val="000000"/>
          <w:sz w:val="27"/>
          <w:szCs w:val="27"/>
          <w:lang w:eastAsia="es-AR"/>
        </w:rPr>
        <w:t>, 1979.</w:t>
      </w:r>
    </w:p>
    <w:p w14:paraId="5A4D6310"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Meyerhold, Vsévolod. Teoría teatral. 9ª ed. Traducido por Agustín Barreno. Madrid: Editorial Fundamentos, 2013.</w:t>
      </w:r>
    </w:p>
    <w:p w14:paraId="65DE37A0"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Meyerhold, Vsévolod. El actor sobre la escena. 5ª ed. Traducido por Enriqueta Bernal López, Noemí Lucero Castillo y </w:t>
      </w:r>
      <w:proofErr w:type="spellStart"/>
      <w:r w:rsidRPr="0072588B">
        <w:rPr>
          <w:rFonts w:ascii="Times New Roman" w:eastAsia="Times New Roman" w:hAnsi="Times New Roman" w:cs="Times New Roman"/>
          <w:color w:val="000000"/>
          <w:sz w:val="27"/>
          <w:szCs w:val="27"/>
          <w:lang w:eastAsia="es-AR"/>
        </w:rPr>
        <w:t>Margherita</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Pavia</w:t>
      </w:r>
      <w:proofErr w:type="spellEnd"/>
      <w:r w:rsidRPr="0072588B">
        <w:rPr>
          <w:rFonts w:ascii="Times New Roman" w:eastAsia="Times New Roman" w:hAnsi="Times New Roman" w:cs="Times New Roman"/>
          <w:color w:val="000000"/>
          <w:sz w:val="27"/>
          <w:szCs w:val="27"/>
          <w:lang w:eastAsia="es-AR"/>
        </w:rPr>
        <w:t xml:space="preserve">. Ciudad de México: </w:t>
      </w:r>
      <w:proofErr w:type="spellStart"/>
      <w:r w:rsidRPr="0072588B">
        <w:rPr>
          <w:rFonts w:ascii="Times New Roman" w:eastAsia="Times New Roman" w:hAnsi="Times New Roman" w:cs="Times New Roman"/>
          <w:color w:val="000000"/>
          <w:sz w:val="27"/>
          <w:szCs w:val="27"/>
          <w:lang w:eastAsia="es-AR"/>
        </w:rPr>
        <w:t>Escenología</w:t>
      </w:r>
      <w:proofErr w:type="spellEnd"/>
      <w:r w:rsidRPr="0072588B">
        <w:rPr>
          <w:rFonts w:ascii="Times New Roman" w:eastAsia="Times New Roman" w:hAnsi="Times New Roman" w:cs="Times New Roman"/>
          <w:color w:val="000000"/>
          <w:sz w:val="27"/>
          <w:szCs w:val="27"/>
          <w:lang w:eastAsia="es-AR"/>
        </w:rPr>
        <w:t>, A.C., 2005.</w:t>
      </w:r>
    </w:p>
    <w:p w14:paraId="1908D4A9"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Meyerhold, Vsévolod. </w:t>
      </w:r>
      <w:proofErr w:type="spellStart"/>
      <w:r w:rsidRPr="0072588B">
        <w:rPr>
          <w:rFonts w:ascii="Times New Roman" w:eastAsia="Times New Roman" w:hAnsi="Times New Roman" w:cs="Times New Roman"/>
          <w:color w:val="000000"/>
          <w:sz w:val="27"/>
          <w:szCs w:val="27"/>
          <w:lang w:eastAsia="es-AR"/>
        </w:rPr>
        <w:t>Écrits</w:t>
      </w:r>
      <w:proofErr w:type="spellEnd"/>
      <w:r w:rsidRPr="0072588B">
        <w:rPr>
          <w:rFonts w:ascii="Times New Roman" w:eastAsia="Times New Roman" w:hAnsi="Times New Roman" w:cs="Times New Roman"/>
          <w:color w:val="000000"/>
          <w:sz w:val="27"/>
          <w:szCs w:val="27"/>
          <w:lang w:eastAsia="es-AR"/>
        </w:rPr>
        <w:t xml:space="preserve"> sur le </w:t>
      </w:r>
      <w:proofErr w:type="spellStart"/>
      <w:r w:rsidRPr="0072588B">
        <w:rPr>
          <w:rFonts w:ascii="Times New Roman" w:eastAsia="Times New Roman" w:hAnsi="Times New Roman" w:cs="Times New Roman"/>
          <w:color w:val="000000"/>
          <w:sz w:val="27"/>
          <w:szCs w:val="27"/>
          <w:lang w:eastAsia="es-AR"/>
        </w:rPr>
        <w:t>théâtre</w:t>
      </w:r>
      <w:proofErr w:type="spellEnd"/>
      <w:r w:rsidRPr="0072588B">
        <w:rPr>
          <w:rFonts w:ascii="Times New Roman" w:eastAsia="Times New Roman" w:hAnsi="Times New Roman" w:cs="Times New Roman"/>
          <w:color w:val="000000"/>
          <w:sz w:val="27"/>
          <w:szCs w:val="27"/>
          <w:lang w:eastAsia="es-AR"/>
        </w:rPr>
        <w:t xml:space="preserve">, tome 1. 9ª ed. Traducido por Béatrice </w:t>
      </w:r>
      <w:proofErr w:type="spellStart"/>
      <w:r w:rsidRPr="0072588B">
        <w:rPr>
          <w:rFonts w:ascii="Times New Roman" w:eastAsia="Times New Roman" w:hAnsi="Times New Roman" w:cs="Times New Roman"/>
          <w:color w:val="000000"/>
          <w:sz w:val="27"/>
          <w:szCs w:val="27"/>
          <w:lang w:eastAsia="es-AR"/>
        </w:rPr>
        <w:t>Picon-Vallin</w:t>
      </w:r>
      <w:proofErr w:type="spellEnd"/>
      <w:r w:rsidRPr="0072588B">
        <w:rPr>
          <w:rFonts w:ascii="Times New Roman" w:eastAsia="Times New Roman" w:hAnsi="Times New Roman" w:cs="Times New Roman"/>
          <w:color w:val="000000"/>
          <w:sz w:val="27"/>
          <w:szCs w:val="27"/>
          <w:lang w:eastAsia="es-AR"/>
        </w:rPr>
        <w:t xml:space="preserve">. Lausana: </w:t>
      </w:r>
      <w:proofErr w:type="spellStart"/>
      <w:r w:rsidRPr="0072588B">
        <w:rPr>
          <w:rFonts w:ascii="Times New Roman" w:eastAsia="Times New Roman" w:hAnsi="Times New Roman" w:cs="Times New Roman"/>
          <w:color w:val="000000"/>
          <w:sz w:val="27"/>
          <w:szCs w:val="27"/>
          <w:lang w:eastAsia="es-AR"/>
        </w:rPr>
        <w:t>Editions</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L’Age</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D’Homme</w:t>
      </w:r>
      <w:proofErr w:type="spellEnd"/>
      <w:r w:rsidRPr="0072588B">
        <w:rPr>
          <w:rFonts w:ascii="Times New Roman" w:eastAsia="Times New Roman" w:hAnsi="Times New Roman" w:cs="Times New Roman"/>
          <w:color w:val="000000"/>
          <w:sz w:val="27"/>
          <w:szCs w:val="27"/>
          <w:lang w:eastAsia="es-AR"/>
        </w:rPr>
        <w:t>, 2001.</w:t>
      </w:r>
    </w:p>
    <w:p w14:paraId="02D32194"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lastRenderedPageBreak/>
        <w:t>Meyerhold, Vsévolod. Meyerhold: Textos teóricos. 2ª ed. Traducido por J. Delgado, et al. Madrid: Publicaciones de la Asociación de Directores de Escena de España, 1992.</w:t>
      </w:r>
    </w:p>
    <w:p w14:paraId="78BBD77F"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Pavis, Patrice. Diccionario del teatro: dramaturgia, estética, semiología. Traducido por Jaume </w:t>
      </w:r>
      <w:proofErr w:type="spellStart"/>
      <w:r w:rsidRPr="0072588B">
        <w:rPr>
          <w:rFonts w:ascii="Times New Roman" w:eastAsia="Times New Roman" w:hAnsi="Times New Roman" w:cs="Times New Roman"/>
          <w:color w:val="000000"/>
          <w:sz w:val="27"/>
          <w:szCs w:val="27"/>
          <w:lang w:eastAsia="es-AR"/>
        </w:rPr>
        <w:t>Melendres</w:t>
      </w:r>
      <w:proofErr w:type="spellEnd"/>
      <w:r w:rsidRPr="0072588B">
        <w:rPr>
          <w:rFonts w:ascii="Times New Roman" w:eastAsia="Times New Roman" w:hAnsi="Times New Roman" w:cs="Times New Roman"/>
          <w:color w:val="000000"/>
          <w:sz w:val="27"/>
          <w:szCs w:val="27"/>
          <w:lang w:eastAsia="es-AR"/>
        </w:rPr>
        <w:t>. Buenos Aires: Paidós, 2008.</w:t>
      </w:r>
    </w:p>
    <w:p w14:paraId="59470DD6"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proofErr w:type="spellStart"/>
      <w:r w:rsidRPr="0072588B">
        <w:rPr>
          <w:rFonts w:ascii="Times New Roman" w:eastAsia="Times New Roman" w:hAnsi="Times New Roman" w:cs="Times New Roman"/>
          <w:color w:val="000000"/>
          <w:sz w:val="27"/>
          <w:szCs w:val="27"/>
          <w:lang w:eastAsia="es-AR"/>
        </w:rPr>
        <w:t>Picon-Vallin</w:t>
      </w:r>
      <w:proofErr w:type="spellEnd"/>
      <w:r w:rsidRPr="0072588B">
        <w:rPr>
          <w:rFonts w:ascii="Times New Roman" w:eastAsia="Times New Roman" w:hAnsi="Times New Roman" w:cs="Times New Roman"/>
          <w:color w:val="000000"/>
          <w:sz w:val="27"/>
          <w:szCs w:val="27"/>
          <w:lang w:eastAsia="es-AR"/>
        </w:rPr>
        <w:t xml:space="preserve">, Béatrice. Meyerhold. Paris: Centre </w:t>
      </w:r>
      <w:proofErr w:type="spellStart"/>
      <w:r w:rsidRPr="0072588B">
        <w:rPr>
          <w:rFonts w:ascii="Times New Roman" w:eastAsia="Times New Roman" w:hAnsi="Times New Roman" w:cs="Times New Roman"/>
          <w:color w:val="000000"/>
          <w:sz w:val="27"/>
          <w:szCs w:val="27"/>
          <w:lang w:eastAsia="es-AR"/>
        </w:rPr>
        <w:t>National</w:t>
      </w:r>
      <w:proofErr w:type="spellEnd"/>
      <w:r w:rsidRPr="0072588B">
        <w:rPr>
          <w:rFonts w:ascii="Times New Roman" w:eastAsia="Times New Roman" w:hAnsi="Times New Roman" w:cs="Times New Roman"/>
          <w:color w:val="000000"/>
          <w:sz w:val="27"/>
          <w:szCs w:val="27"/>
          <w:lang w:eastAsia="es-AR"/>
        </w:rPr>
        <w:t xml:space="preserve"> de la </w:t>
      </w:r>
      <w:proofErr w:type="spellStart"/>
      <w:r w:rsidRPr="0072588B">
        <w:rPr>
          <w:rFonts w:ascii="Times New Roman" w:eastAsia="Times New Roman" w:hAnsi="Times New Roman" w:cs="Times New Roman"/>
          <w:color w:val="000000"/>
          <w:sz w:val="27"/>
          <w:szCs w:val="27"/>
          <w:lang w:eastAsia="es-AR"/>
        </w:rPr>
        <w:t>Recherche</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Scientifique</w:t>
      </w:r>
      <w:proofErr w:type="spellEnd"/>
      <w:r w:rsidRPr="0072588B">
        <w:rPr>
          <w:rFonts w:ascii="Times New Roman" w:eastAsia="Times New Roman" w:hAnsi="Times New Roman" w:cs="Times New Roman"/>
          <w:color w:val="000000"/>
          <w:sz w:val="27"/>
          <w:szCs w:val="27"/>
          <w:lang w:eastAsia="es-AR"/>
        </w:rPr>
        <w:t>, 1990.</w:t>
      </w:r>
    </w:p>
    <w:p w14:paraId="15EAAE7A"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proofErr w:type="spellStart"/>
      <w:r w:rsidRPr="0072588B">
        <w:rPr>
          <w:rFonts w:ascii="Times New Roman" w:eastAsia="Times New Roman" w:hAnsi="Times New Roman" w:cs="Times New Roman"/>
          <w:color w:val="000000"/>
          <w:sz w:val="27"/>
          <w:szCs w:val="27"/>
          <w:lang w:eastAsia="es-AR"/>
        </w:rPr>
        <w:t>Picon-Vallin</w:t>
      </w:r>
      <w:proofErr w:type="spellEnd"/>
      <w:r w:rsidRPr="0072588B">
        <w:rPr>
          <w:rFonts w:ascii="Times New Roman" w:eastAsia="Times New Roman" w:hAnsi="Times New Roman" w:cs="Times New Roman"/>
          <w:color w:val="000000"/>
          <w:sz w:val="27"/>
          <w:szCs w:val="27"/>
          <w:lang w:eastAsia="es-AR"/>
        </w:rPr>
        <w:t>, Béatrice. “</w:t>
      </w:r>
      <w:proofErr w:type="spellStart"/>
      <w:r w:rsidRPr="0072588B">
        <w:rPr>
          <w:rFonts w:ascii="Times New Roman" w:eastAsia="Times New Roman" w:hAnsi="Times New Roman" w:cs="Times New Roman"/>
          <w:color w:val="000000"/>
          <w:sz w:val="27"/>
          <w:szCs w:val="27"/>
          <w:lang w:eastAsia="es-AR"/>
        </w:rPr>
        <w:t>Il</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lavoro</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dell’attore</w:t>
      </w:r>
      <w:proofErr w:type="spellEnd"/>
      <w:r w:rsidRPr="0072588B">
        <w:rPr>
          <w:rFonts w:ascii="Times New Roman" w:eastAsia="Times New Roman" w:hAnsi="Times New Roman" w:cs="Times New Roman"/>
          <w:color w:val="000000"/>
          <w:sz w:val="27"/>
          <w:szCs w:val="27"/>
          <w:lang w:eastAsia="es-AR"/>
        </w:rPr>
        <w:t xml:space="preserve"> in </w:t>
      </w:r>
      <w:proofErr w:type="spellStart"/>
      <w:r w:rsidRPr="0072588B">
        <w:rPr>
          <w:rFonts w:ascii="Times New Roman" w:eastAsia="Times New Roman" w:hAnsi="Times New Roman" w:cs="Times New Roman"/>
          <w:color w:val="000000"/>
          <w:sz w:val="27"/>
          <w:szCs w:val="27"/>
          <w:lang w:eastAsia="es-AR"/>
        </w:rPr>
        <w:t>Mejerchol’d</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studi</w:t>
      </w:r>
      <w:proofErr w:type="spellEnd"/>
      <w:r w:rsidRPr="0072588B">
        <w:rPr>
          <w:rFonts w:ascii="Times New Roman" w:eastAsia="Times New Roman" w:hAnsi="Times New Roman" w:cs="Times New Roman"/>
          <w:color w:val="000000"/>
          <w:sz w:val="27"/>
          <w:szCs w:val="27"/>
          <w:lang w:eastAsia="es-AR"/>
        </w:rPr>
        <w:t xml:space="preserve"> e </w:t>
      </w:r>
      <w:proofErr w:type="spellStart"/>
      <w:r w:rsidRPr="0072588B">
        <w:rPr>
          <w:rFonts w:ascii="Times New Roman" w:eastAsia="Times New Roman" w:hAnsi="Times New Roman" w:cs="Times New Roman"/>
          <w:color w:val="000000"/>
          <w:sz w:val="27"/>
          <w:szCs w:val="27"/>
          <w:lang w:eastAsia="es-AR"/>
        </w:rPr>
        <w:t>materiali</w:t>
      </w:r>
      <w:proofErr w:type="spellEnd"/>
      <w:r w:rsidRPr="0072588B">
        <w:rPr>
          <w:rFonts w:ascii="Times New Roman" w:eastAsia="Times New Roman" w:hAnsi="Times New Roman" w:cs="Times New Roman"/>
          <w:color w:val="000000"/>
          <w:sz w:val="27"/>
          <w:szCs w:val="27"/>
          <w:lang w:eastAsia="es-AR"/>
        </w:rPr>
        <w:t xml:space="preserve">”. Revista Teatro e </w:t>
      </w:r>
      <w:proofErr w:type="spellStart"/>
      <w:r w:rsidRPr="0072588B">
        <w:rPr>
          <w:rFonts w:ascii="Times New Roman" w:eastAsia="Times New Roman" w:hAnsi="Times New Roman" w:cs="Times New Roman"/>
          <w:color w:val="000000"/>
          <w:sz w:val="27"/>
          <w:szCs w:val="27"/>
          <w:lang w:eastAsia="es-AR"/>
        </w:rPr>
        <w:t>Storia</w:t>
      </w:r>
      <w:proofErr w:type="spellEnd"/>
      <w:r w:rsidRPr="0072588B">
        <w:rPr>
          <w:rFonts w:ascii="Times New Roman" w:eastAsia="Times New Roman" w:hAnsi="Times New Roman" w:cs="Times New Roman"/>
          <w:color w:val="000000"/>
          <w:sz w:val="27"/>
          <w:szCs w:val="27"/>
          <w:lang w:eastAsia="es-AR"/>
        </w:rPr>
        <w:t>, vol. 18, 1996, pp. 85-140.</w:t>
      </w:r>
    </w:p>
    <w:p w14:paraId="673428BA"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Ruiz, Borja. El arte del actor en el siglo </w:t>
      </w:r>
      <w:proofErr w:type="spellStart"/>
      <w:r w:rsidRPr="0072588B">
        <w:rPr>
          <w:rFonts w:ascii="Times New Roman" w:eastAsia="Times New Roman" w:hAnsi="Times New Roman" w:cs="Times New Roman"/>
          <w:color w:val="000000"/>
          <w:sz w:val="27"/>
          <w:szCs w:val="27"/>
          <w:lang w:eastAsia="es-AR"/>
        </w:rPr>
        <w:t>xx</w:t>
      </w:r>
      <w:proofErr w:type="spellEnd"/>
      <w:r w:rsidRPr="0072588B">
        <w:rPr>
          <w:rFonts w:ascii="Times New Roman" w:eastAsia="Times New Roman" w:hAnsi="Times New Roman" w:cs="Times New Roman"/>
          <w:color w:val="000000"/>
          <w:sz w:val="27"/>
          <w:szCs w:val="27"/>
          <w:lang w:eastAsia="es-AR"/>
        </w:rPr>
        <w:t xml:space="preserve">. Un recorrido teórico y práctico por las vanguardias. Bilbao: </w:t>
      </w:r>
      <w:proofErr w:type="spellStart"/>
      <w:r w:rsidRPr="0072588B">
        <w:rPr>
          <w:rFonts w:ascii="Times New Roman" w:eastAsia="Times New Roman" w:hAnsi="Times New Roman" w:cs="Times New Roman"/>
          <w:color w:val="000000"/>
          <w:sz w:val="27"/>
          <w:szCs w:val="27"/>
          <w:lang w:eastAsia="es-AR"/>
        </w:rPr>
        <w:t>Artezblai</w:t>
      </w:r>
      <w:proofErr w:type="spellEnd"/>
      <w:r w:rsidRPr="0072588B">
        <w:rPr>
          <w:rFonts w:ascii="Times New Roman" w:eastAsia="Times New Roman" w:hAnsi="Times New Roman" w:cs="Times New Roman"/>
          <w:color w:val="000000"/>
          <w:sz w:val="27"/>
          <w:szCs w:val="27"/>
          <w:lang w:eastAsia="es-AR"/>
        </w:rPr>
        <w:t xml:space="preserve"> S.L., 2008.</w:t>
      </w:r>
    </w:p>
    <w:p w14:paraId="570B606E"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proofErr w:type="spellStart"/>
      <w:r w:rsidRPr="0072588B">
        <w:rPr>
          <w:rFonts w:ascii="Times New Roman" w:eastAsia="Times New Roman" w:hAnsi="Times New Roman" w:cs="Times New Roman"/>
          <w:color w:val="000000"/>
          <w:sz w:val="27"/>
          <w:szCs w:val="27"/>
          <w:lang w:eastAsia="es-AR"/>
        </w:rPr>
        <w:t>Sperber</w:t>
      </w:r>
      <w:proofErr w:type="spellEnd"/>
      <w:r w:rsidRPr="0072588B">
        <w:rPr>
          <w:rFonts w:ascii="Times New Roman" w:eastAsia="Times New Roman" w:hAnsi="Times New Roman" w:cs="Times New Roman"/>
          <w:color w:val="000000"/>
          <w:sz w:val="27"/>
          <w:szCs w:val="27"/>
          <w:lang w:eastAsia="es-AR"/>
        </w:rPr>
        <w:t xml:space="preserve">, Dan. El simbolismo en general. Traducido por </w:t>
      </w:r>
      <w:proofErr w:type="spellStart"/>
      <w:r w:rsidRPr="0072588B">
        <w:rPr>
          <w:rFonts w:ascii="Times New Roman" w:eastAsia="Times New Roman" w:hAnsi="Times New Roman" w:cs="Times New Roman"/>
          <w:color w:val="000000"/>
          <w:sz w:val="27"/>
          <w:szCs w:val="27"/>
          <w:lang w:eastAsia="es-AR"/>
        </w:rPr>
        <w:t>J.M</w:t>
      </w:r>
      <w:proofErr w:type="spellEnd"/>
      <w:r w:rsidRPr="0072588B">
        <w:rPr>
          <w:rFonts w:ascii="Times New Roman" w:eastAsia="Times New Roman" w:hAnsi="Times New Roman" w:cs="Times New Roman"/>
          <w:color w:val="000000"/>
          <w:sz w:val="27"/>
          <w:szCs w:val="27"/>
          <w:lang w:eastAsia="es-AR"/>
        </w:rPr>
        <w:t xml:space="preserve">. García de la Mora. Barcelona: Editorial </w:t>
      </w:r>
      <w:proofErr w:type="spellStart"/>
      <w:r w:rsidRPr="0072588B">
        <w:rPr>
          <w:rFonts w:ascii="Times New Roman" w:eastAsia="Times New Roman" w:hAnsi="Times New Roman" w:cs="Times New Roman"/>
          <w:color w:val="000000"/>
          <w:sz w:val="27"/>
          <w:szCs w:val="27"/>
          <w:lang w:eastAsia="es-AR"/>
        </w:rPr>
        <w:t>Anthropos</w:t>
      </w:r>
      <w:proofErr w:type="spellEnd"/>
      <w:r w:rsidRPr="0072588B">
        <w:rPr>
          <w:rFonts w:ascii="Times New Roman" w:eastAsia="Times New Roman" w:hAnsi="Times New Roman" w:cs="Times New Roman"/>
          <w:color w:val="000000"/>
          <w:sz w:val="27"/>
          <w:szCs w:val="27"/>
          <w:lang w:eastAsia="es-AR"/>
        </w:rPr>
        <w:t>, 1978.</w:t>
      </w:r>
    </w:p>
    <w:p w14:paraId="6A7F3546"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proofErr w:type="spellStart"/>
      <w:r w:rsidRPr="0072588B">
        <w:rPr>
          <w:rFonts w:ascii="Times New Roman" w:eastAsia="Times New Roman" w:hAnsi="Times New Roman" w:cs="Times New Roman"/>
          <w:color w:val="000000"/>
          <w:sz w:val="27"/>
          <w:szCs w:val="27"/>
          <w:lang w:eastAsia="es-AR"/>
        </w:rPr>
        <w:t>Tolmacheva</w:t>
      </w:r>
      <w:proofErr w:type="spellEnd"/>
      <w:r w:rsidRPr="0072588B">
        <w:rPr>
          <w:rFonts w:ascii="Times New Roman" w:eastAsia="Times New Roman" w:hAnsi="Times New Roman" w:cs="Times New Roman"/>
          <w:color w:val="000000"/>
          <w:sz w:val="27"/>
          <w:szCs w:val="27"/>
          <w:lang w:eastAsia="es-AR"/>
        </w:rPr>
        <w:t xml:space="preserve">, </w:t>
      </w:r>
      <w:proofErr w:type="spellStart"/>
      <w:r w:rsidRPr="0072588B">
        <w:rPr>
          <w:rFonts w:ascii="Times New Roman" w:eastAsia="Times New Roman" w:hAnsi="Times New Roman" w:cs="Times New Roman"/>
          <w:color w:val="000000"/>
          <w:sz w:val="27"/>
          <w:szCs w:val="27"/>
          <w:lang w:eastAsia="es-AR"/>
        </w:rPr>
        <w:t>Galina</w:t>
      </w:r>
      <w:proofErr w:type="spellEnd"/>
      <w:r w:rsidRPr="0072588B">
        <w:rPr>
          <w:rFonts w:ascii="Times New Roman" w:eastAsia="Times New Roman" w:hAnsi="Times New Roman" w:cs="Times New Roman"/>
          <w:color w:val="000000"/>
          <w:sz w:val="27"/>
          <w:szCs w:val="27"/>
          <w:lang w:eastAsia="es-AR"/>
        </w:rPr>
        <w:t xml:space="preserve">. Creadores del teatro moderno. Ciudad de México: </w:t>
      </w:r>
      <w:proofErr w:type="spellStart"/>
      <w:r w:rsidRPr="0072588B">
        <w:rPr>
          <w:rFonts w:ascii="Times New Roman" w:eastAsia="Times New Roman" w:hAnsi="Times New Roman" w:cs="Times New Roman"/>
          <w:color w:val="000000"/>
          <w:sz w:val="27"/>
          <w:szCs w:val="27"/>
          <w:lang w:eastAsia="es-AR"/>
        </w:rPr>
        <w:t>Escenología</w:t>
      </w:r>
      <w:proofErr w:type="spellEnd"/>
      <w:r w:rsidRPr="0072588B">
        <w:rPr>
          <w:rFonts w:ascii="Times New Roman" w:eastAsia="Times New Roman" w:hAnsi="Times New Roman" w:cs="Times New Roman"/>
          <w:color w:val="000000"/>
          <w:sz w:val="27"/>
          <w:szCs w:val="27"/>
          <w:lang w:eastAsia="es-AR"/>
        </w:rPr>
        <w:t xml:space="preserve"> A.C., 2011.</w:t>
      </w:r>
    </w:p>
    <w:p w14:paraId="2D2BAC0D"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 xml:space="preserve">Vallejo, Patricio. Teatro y vida cotidiana. Quito: Universidad Andina Simón Bolívar, Sede Ecuador / Corporación Editora Nacional / Ediciones </w:t>
      </w:r>
      <w:proofErr w:type="spellStart"/>
      <w:r w:rsidRPr="0072588B">
        <w:rPr>
          <w:rFonts w:ascii="Times New Roman" w:eastAsia="Times New Roman" w:hAnsi="Times New Roman" w:cs="Times New Roman"/>
          <w:color w:val="000000"/>
          <w:sz w:val="27"/>
          <w:szCs w:val="27"/>
          <w:lang w:eastAsia="es-AR"/>
        </w:rPr>
        <w:t>Abya</w:t>
      </w:r>
      <w:proofErr w:type="spellEnd"/>
      <w:r w:rsidRPr="0072588B">
        <w:rPr>
          <w:rFonts w:ascii="Times New Roman" w:eastAsia="Times New Roman" w:hAnsi="Times New Roman" w:cs="Times New Roman"/>
          <w:color w:val="000000"/>
          <w:sz w:val="27"/>
          <w:szCs w:val="27"/>
          <w:lang w:eastAsia="es-AR"/>
        </w:rPr>
        <w:t xml:space="preserve"> Yala, 2003.</w:t>
      </w:r>
    </w:p>
    <w:p w14:paraId="7F743E98"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Watson, Ian. Hacia un tercer teatro. Traducido por Susana Epstein. Ciudad Real: Ñaque Editora, 2000.</w:t>
      </w:r>
    </w:p>
    <w:p w14:paraId="29923F30" w14:textId="77777777" w:rsidR="0072588B" w:rsidRPr="0072588B" w:rsidRDefault="007258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bookmarkStart w:id="24" w:name="nota"/>
      <w:bookmarkEnd w:id="24"/>
      <w:r w:rsidRPr="0072588B">
        <w:rPr>
          <w:rFonts w:ascii="Verdana" w:eastAsia="Times New Roman" w:hAnsi="Verdana" w:cs="Times New Roman"/>
          <w:b/>
          <w:bCs/>
          <w:color w:val="000000"/>
          <w:sz w:val="20"/>
          <w:szCs w:val="20"/>
          <w:lang w:eastAsia="es-AR"/>
        </w:rPr>
        <w:t>Notas</w:t>
      </w:r>
    </w:p>
    <w:p w14:paraId="6A8ED28D"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6" w:anchor="nota1" w:history="1">
        <w:r w:rsidR="0072588B" w:rsidRPr="0072588B">
          <w:rPr>
            <w:rFonts w:ascii="Verdana" w:eastAsia="Times New Roman" w:hAnsi="Verdana" w:cs="Times New Roman"/>
            <w:color w:val="0000FF"/>
            <w:sz w:val="20"/>
            <w:szCs w:val="20"/>
            <w:u w:val="single"/>
            <w:lang w:eastAsia="es-AR"/>
          </w:rPr>
          <w:t>1</w:t>
        </w:r>
      </w:hyperlink>
      <w:r w:rsidR="0072588B" w:rsidRPr="0072588B">
        <w:rPr>
          <w:rFonts w:ascii="Times New Roman" w:eastAsia="Times New Roman" w:hAnsi="Times New Roman" w:cs="Times New Roman"/>
          <w:color w:val="000000"/>
          <w:sz w:val="27"/>
          <w:szCs w:val="27"/>
          <w:lang w:eastAsia="es-AR"/>
        </w:rPr>
        <w:t> Este artículo ha sido escrito a partir del capítulo v de mi tesis doctoral, titulada “La técnica extracotidiana en la creación del cuerpo escénico: inculturación y aculturación, análisis y modelo pedagógico”, dirigida por el doctor Francesc Xavier Escribano López.</w:t>
      </w:r>
    </w:p>
    <w:p w14:paraId="04305B52"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7" w:anchor="nota2" w:history="1">
        <w:r w:rsidR="0072588B" w:rsidRPr="0072588B">
          <w:rPr>
            <w:rFonts w:ascii="Verdana" w:eastAsia="Times New Roman" w:hAnsi="Verdana" w:cs="Times New Roman"/>
            <w:color w:val="0000FF"/>
            <w:sz w:val="20"/>
            <w:szCs w:val="20"/>
            <w:u w:val="single"/>
            <w:lang w:eastAsia="es-AR"/>
          </w:rPr>
          <w:t>2 </w:t>
        </w:r>
      </w:hyperlink>
      <w:r w:rsidR="0072588B" w:rsidRPr="0072588B">
        <w:rPr>
          <w:rFonts w:ascii="Times New Roman" w:eastAsia="Times New Roman" w:hAnsi="Times New Roman" w:cs="Times New Roman"/>
          <w:color w:val="000000"/>
          <w:sz w:val="27"/>
          <w:szCs w:val="27"/>
          <w:lang w:eastAsia="es-AR"/>
        </w:rPr>
        <w:t>Meyerhold, en 1939, fue detenido y torturado por el Partido Comunista de Stalin; en febrero de 1940 es acusado de trotskista, espía británico y japonés, lo cual desemboca en su fusilamiento.</w:t>
      </w:r>
    </w:p>
    <w:p w14:paraId="4E2C0213"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8" w:anchor="nota3" w:history="1">
        <w:r w:rsidR="0072588B" w:rsidRPr="0072588B">
          <w:rPr>
            <w:rFonts w:ascii="Verdana" w:eastAsia="Times New Roman" w:hAnsi="Verdana" w:cs="Times New Roman"/>
            <w:color w:val="0000FF"/>
            <w:sz w:val="20"/>
            <w:szCs w:val="20"/>
            <w:u w:val="single"/>
            <w:lang w:eastAsia="es-AR"/>
          </w:rPr>
          <w:t>3</w:t>
        </w:r>
      </w:hyperlink>
      <w:r w:rsidR="0072588B" w:rsidRPr="0072588B">
        <w:rPr>
          <w:rFonts w:ascii="Times New Roman" w:eastAsia="Times New Roman" w:hAnsi="Times New Roman" w:cs="Times New Roman"/>
          <w:color w:val="000000"/>
          <w:sz w:val="27"/>
          <w:szCs w:val="27"/>
          <w:lang w:eastAsia="es-AR"/>
        </w:rPr>
        <w:t> </w:t>
      </w:r>
      <w:proofErr w:type="spellStart"/>
      <w:r w:rsidR="0072588B" w:rsidRPr="0072588B">
        <w:rPr>
          <w:rFonts w:ascii="Times New Roman" w:eastAsia="Times New Roman" w:hAnsi="Times New Roman" w:cs="Times New Roman"/>
          <w:color w:val="000000"/>
          <w:sz w:val="27"/>
          <w:szCs w:val="27"/>
          <w:lang w:eastAsia="es-AR"/>
        </w:rPr>
        <w:t>Galina</w:t>
      </w:r>
      <w:proofErr w:type="spellEnd"/>
      <w:r w:rsidR="0072588B" w:rsidRPr="0072588B">
        <w:rPr>
          <w:rFonts w:ascii="Times New Roman" w:eastAsia="Times New Roman" w:hAnsi="Times New Roman" w:cs="Times New Roman"/>
          <w:color w:val="000000"/>
          <w:sz w:val="27"/>
          <w:szCs w:val="27"/>
          <w:lang w:eastAsia="es-AR"/>
        </w:rPr>
        <w:t xml:space="preserve"> </w:t>
      </w:r>
      <w:proofErr w:type="spellStart"/>
      <w:r w:rsidR="0072588B" w:rsidRPr="0072588B">
        <w:rPr>
          <w:rFonts w:ascii="Times New Roman" w:eastAsia="Times New Roman" w:hAnsi="Times New Roman" w:cs="Times New Roman"/>
          <w:color w:val="000000"/>
          <w:sz w:val="27"/>
          <w:szCs w:val="27"/>
          <w:lang w:eastAsia="es-AR"/>
        </w:rPr>
        <w:t>Tolmacheva</w:t>
      </w:r>
      <w:proofErr w:type="spellEnd"/>
      <w:r w:rsidR="0072588B" w:rsidRPr="0072588B">
        <w:rPr>
          <w:rFonts w:ascii="Times New Roman" w:eastAsia="Times New Roman" w:hAnsi="Times New Roman" w:cs="Times New Roman"/>
          <w:color w:val="000000"/>
          <w:sz w:val="27"/>
          <w:szCs w:val="27"/>
          <w:lang w:eastAsia="es-AR"/>
        </w:rPr>
        <w:t xml:space="preserve">, quien fuera discípula de Stanislavski, comenta sobre esta aparente oposición: “Psicotécnica y Biomecánica. Stanislavski y Meyerhold ¡Qué diferencia y qué semejanza! Dos extremos, dos polos tan opuestos como parecidos. Ambos parten de la técnica pura. Uno se consagra al minucioso trabajo analítico en el campo de las posibilidades psíquicas del ejecutante, y aspira a llegar al perfeccionamiento artístico mediante el </w:t>
      </w:r>
      <w:r w:rsidR="0072588B" w:rsidRPr="0072588B">
        <w:rPr>
          <w:rFonts w:ascii="Times New Roman" w:eastAsia="Times New Roman" w:hAnsi="Times New Roman" w:cs="Times New Roman"/>
          <w:color w:val="000000"/>
          <w:sz w:val="27"/>
          <w:szCs w:val="27"/>
          <w:lang w:eastAsia="es-AR"/>
        </w:rPr>
        <w:lastRenderedPageBreak/>
        <w:t>desarrollo y entrenamiento casi científico de la psiquis del actor; el otro hace lo mismo en cuanto a las posibilidades físicas, y procura lograr la misma perfección desarrollando casi científicamente las condiciones físicas del intérprete” (</w:t>
      </w:r>
      <w:proofErr w:type="spellStart"/>
      <w:r w:rsidR="0072588B" w:rsidRPr="0072588B">
        <w:rPr>
          <w:rFonts w:ascii="Times New Roman" w:eastAsia="Times New Roman" w:hAnsi="Times New Roman" w:cs="Times New Roman"/>
          <w:color w:val="000000"/>
          <w:sz w:val="27"/>
          <w:szCs w:val="27"/>
          <w:lang w:eastAsia="es-AR"/>
        </w:rPr>
        <w:t>Tolmacheva</w:t>
      </w:r>
      <w:proofErr w:type="spellEnd"/>
      <w:r w:rsidR="0072588B" w:rsidRPr="0072588B">
        <w:rPr>
          <w:rFonts w:ascii="Times New Roman" w:eastAsia="Times New Roman" w:hAnsi="Times New Roman" w:cs="Times New Roman"/>
          <w:color w:val="000000"/>
          <w:sz w:val="27"/>
          <w:szCs w:val="27"/>
          <w:lang w:eastAsia="es-AR"/>
        </w:rPr>
        <w:t xml:space="preserve"> 367).</w:t>
      </w:r>
    </w:p>
    <w:p w14:paraId="09586FF8"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9" w:anchor="nota4" w:history="1">
        <w:r w:rsidR="0072588B" w:rsidRPr="0072588B">
          <w:rPr>
            <w:rFonts w:ascii="Verdana" w:eastAsia="Times New Roman" w:hAnsi="Verdana" w:cs="Times New Roman"/>
            <w:color w:val="0000FF"/>
            <w:sz w:val="20"/>
            <w:szCs w:val="20"/>
            <w:u w:val="single"/>
            <w:lang w:eastAsia="es-AR"/>
          </w:rPr>
          <w:t>4</w:t>
        </w:r>
      </w:hyperlink>
      <w:r w:rsidR="0072588B" w:rsidRPr="0072588B">
        <w:rPr>
          <w:rFonts w:ascii="Times New Roman" w:eastAsia="Times New Roman" w:hAnsi="Times New Roman" w:cs="Times New Roman"/>
          <w:color w:val="000000"/>
          <w:sz w:val="27"/>
          <w:szCs w:val="27"/>
          <w:lang w:eastAsia="es-AR"/>
        </w:rPr>
        <w:t> En esta época empiezan a aparecer nuevas corrientes estéticas que pretenden romper con la estructura naturalista (la ópera y el ballet son pioneros en este cambio), siendo que el “principal responsable de estas innovaciones era un movimiento, ‘El mundo del Arte’, con una revista literaria del mismo nombre fundada en 1898. Esta revista tenía como programa desafiar el academicismo y el naturalismo en iniciar la lucha contra la estética materialista o de intención social. Pero lo más importante no fue lo que negó, sino lo que promocionó y propagó. Dio un gran impulso a todas las artes visuales, iniciando el movimiento de las artes gráficas y el grabado” (Meyerhold, Teoría Teatral 11).</w:t>
      </w:r>
    </w:p>
    <w:p w14:paraId="20CC2123"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10" w:anchor="nota5" w:history="1">
        <w:r w:rsidR="0072588B" w:rsidRPr="0072588B">
          <w:rPr>
            <w:rFonts w:ascii="Verdana" w:eastAsia="Times New Roman" w:hAnsi="Verdana" w:cs="Times New Roman"/>
            <w:color w:val="0000FF"/>
            <w:sz w:val="20"/>
            <w:szCs w:val="20"/>
            <w:u w:val="single"/>
            <w:lang w:eastAsia="es-AR"/>
          </w:rPr>
          <w:t>5</w:t>
        </w:r>
      </w:hyperlink>
      <w:r w:rsidR="0072588B" w:rsidRPr="0072588B">
        <w:rPr>
          <w:rFonts w:ascii="Times New Roman" w:eastAsia="Times New Roman" w:hAnsi="Times New Roman" w:cs="Times New Roman"/>
          <w:color w:val="000000"/>
          <w:sz w:val="27"/>
          <w:szCs w:val="27"/>
          <w:lang w:eastAsia="es-AR"/>
        </w:rPr>
        <w:t xml:space="preserve"> La corriente simbolista nace a finales del siglo </w:t>
      </w:r>
      <w:proofErr w:type="spellStart"/>
      <w:r w:rsidR="0072588B" w:rsidRPr="0072588B">
        <w:rPr>
          <w:rFonts w:ascii="Times New Roman" w:eastAsia="Times New Roman" w:hAnsi="Times New Roman" w:cs="Times New Roman"/>
          <w:color w:val="000000"/>
          <w:sz w:val="27"/>
          <w:szCs w:val="27"/>
          <w:lang w:eastAsia="es-AR"/>
        </w:rPr>
        <w:t>xix</w:t>
      </w:r>
      <w:proofErr w:type="spellEnd"/>
      <w:r w:rsidR="0072588B" w:rsidRPr="0072588B">
        <w:rPr>
          <w:rFonts w:ascii="Times New Roman" w:eastAsia="Times New Roman" w:hAnsi="Times New Roman" w:cs="Times New Roman"/>
          <w:color w:val="000000"/>
          <w:sz w:val="27"/>
          <w:szCs w:val="27"/>
          <w:lang w:eastAsia="es-AR"/>
        </w:rPr>
        <w:t xml:space="preserve"> como un movimiento en contraposición al naturalismo y realismo de la época. Para Dan </w:t>
      </w:r>
      <w:proofErr w:type="spellStart"/>
      <w:r w:rsidR="0072588B" w:rsidRPr="0072588B">
        <w:rPr>
          <w:rFonts w:ascii="Times New Roman" w:eastAsia="Times New Roman" w:hAnsi="Times New Roman" w:cs="Times New Roman"/>
          <w:color w:val="000000"/>
          <w:sz w:val="27"/>
          <w:szCs w:val="27"/>
          <w:lang w:eastAsia="es-AR"/>
        </w:rPr>
        <w:t>Sperber</w:t>
      </w:r>
      <w:proofErr w:type="spellEnd"/>
      <w:r w:rsidR="0072588B" w:rsidRPr="0072588B">
        <w:rPr>
          <w:rFonts w:ascii="Times New Roman" w:eastAsia="Times New Roman" w:hAnsi="Times New Roman" w:cs="Times New Roman"/>
          <w:color w:val="000000"/>
          <w:sz w:val="27"/>
          <w:szCs w:val="27"/>
          <w:lang w:eastAsia="es-AR"/>
        </w:rPr>
        <w:t xml:space="preserve">, “el simbolismo es un segundo modo de acceso a la memoria adoptado cuando fracasa el primero y que permite la interpretación de la información. Así, podríamos suponer que la cognición en el hombre es el primer mecanismo adaptativo. Por ejemplo, cuando una serie de acontecimientos o datos se presentan sin una causa primera, se elabora una construcción mental simbólica: para el primitivo, ésta remitirá a los espíritus y para el científico, a ciertos principios axiomáticos” (15). Con esto, </w:t>
      </w:r>
      <w:proofErr w:type="spellStart"/>
      <w:r w:rsidR="0072588B" w:rsidRPr="0072588B">
        <w:rPr>
          <w:rFonts w:ascii="Times New Roman" w:eastAsia="Times New Roman" w:hAnsi="Times New Roman" w:cs="Times New Roman"/>
          <w:color w:val="000000"/>
          <w:sz w:val="27"/>
          <w:szCs w:val="27"/>
          <w:lang w:eastAsia="es-AR"/>
        </w:rPr>
        <w:t>Sperber</w:t>
      </w:r>
      <w:proofErr w:type="spellEnd"/>
      <w:r w:rsidR="0072588B" w:rsidRPr="0072588B">
        <w:rPr>
          <w:rFonts w:ascii="Times New Roman" w:eastAsia="Times New Roman" w:hAnsi="Times New Roman" w:cs="Times New Roman"/>
          <w:color w:val="000000"/>
          <w:sz w:val="27"/>
          <w:szCs w:val="27"/>
          <w:lang w:eastAsia="es-AR"/>
        </w:rPr>
        <w:t xml:space="preserve"> da entender que el proceso cognitivo que realiza nuestra mente permite alcanzar, por medio del simbolismo, un aprendizaje y una forma de expresión liberadora del ser humano.</w:t>
      </w:r>
    </w:p>
    <w:p w14:paraId="521FFD5A"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11" w:anchor="nota6" w:history="1">
        <w:r w:rsidR="0072588B" w:rsidRPr="0072588B">
          <w:rPr>
            <w:rFonts w:ascii="Verdana" w:eastAsia="Times New Roman" w:hAnsi="Verdana" w:cs="Times New Roman"/>
            <w:color w:val="0000FF"/>
            <w:sz w:val="20"/>
            <w:szCs w:val="20"/>
            <w:u w:val="single"/>
            <w:lang w:eastAsia="es-AR"/>
          </w:rPr>
          <w:t>6</w:t>
        </w:r>
      </w:hyperlink>
      <w:r w:rsidR="0072588B" w:rsidRPr="0072588B">
        <w:rPr>
          <w:rFonts w:ascii="Times New Roman" w:eastAsia="Times New Roman" w:hAnsi="Times New Roman" w:cs="Times New Roman"/>
          <w:color w:val="000000"/>
          <w:sz w:val="27"/>
          <w:szCs w:val="27"/>
          <w:lang w:eastAsia="es-AR"/>
        </w:rPr>
        <w:t> Gordon Craig, en referencia a que el símbolo es utilizado universalmente, da los siguientes ejemplos: “Las letras del alfabeto son símbolos que empleamos cotidianamente. Los números son símbolos, y la química y la matemática los utilizan. Todas las monedas del mundo son símbolos; y los hombres de negocios tienen confianza en ellos. La corona y el cetro de los reyes, así como la tiara de los papas son símbolos. Las obras de los pintores y de los poetas, de los arquitectos y los escultores, están llenas de simbolismo; los chinos, los egipcios, los griegos, los romanos y los artistas modernos han entendido y apreciado en su valor al símbolo” (286).</w:t>
      </w:r>
    </w:p>
    <w:p w14:paraId="30474408"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12" w:anchor="nota7" w:history="1">
        <w:r w:rsidR="0072588B" w:rsidRPr="0072588B">
          <w:rPr>
            <w:rFonts w:ascii="Verdana" w:eastAsia="Times New Roman" w:hAnsi="Verdana" w:cs="Times New Roman"/>
            <w:color w:val="0000FF"/>
            <w:sz w:val="20"/>
            <w:szCs w:val="20"/>
            <w:u w:val="single"/>
            <w:lang w:eastAsia="es-AR"/>
          </w:rPr>
          <w:t>7</w:t>
        </w:r>
      </w:hyperlink>
      <w:r w:rsidR="0072588B" w:rsidRPr="0072588B">
        <w:rPr>
          <w:rFonts w:ascii="Times New Roman" w:eastAsia="Times New Roman" w:hAnsi="Times New Roman" w:cs="Times New Roman"/>
          <w:color w:val="000000"/>
          <w:sz w:val="27"/>
          <w:szCs w:val="27"/>
          <w:lang w:eastAsia="es-AR"/>
        </w:rPr>
        <w:t> </w:t>
      </w:r>
      <w:proofErr w:type="spellStart"/>
      <w:r w:rsidR="0072588B" w:rsidRPr="0072588B">
        <w:rPr>
          <w:rFonts w:ascii="Times New Roman" w:eastAsia="Times New Roman" w:hAnsi="Times New Roman" w:cs="Times New Roman"/>
          <w:color w:val="000000"/>
          <w:sz w:val="27"/>
          <w:szCs w:val="27"/>
          <w:lang w:eastAsia="es-AR"/>
        </w:rPr>
        <w:t>Bertold</w:t>
      </w:r>
      <w:proofErr w:type="spellEnd"/>
      <w:r w:rsidR="0072588B" w:rsidRPr="0072588B">
        <w:rPr>
          <w:rFonts w:ascii="Times New Roman" w:eastAsia="Times New Roman" w:hAnsi="Times New Roman" w:cs="Times New Roman"/>
          <w:color w:val="000000"/>
          <w:sz w:val="27"/>
          <w:szCs w:val="27"/>
          <w:lang w:eastAsia="es-AR"/>
        </w:rPr>
        <w:t xml:space="preserve"> Brecht, años más tarde, también crearía una serie de convenciones para crear su conocido efecto de distanciamiento, con el cual se oponía a la tendencia de los espectadores a identificarse con los personajes, sin llegar a tener alguna reflexión crítica.</w:t>
      </w:r>
    </w:p>
    <w:p w14:paraId="3909B4AF"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13" w:anchor="nota8" w:history="1">
        <w:r w:rsidR="0072588B" w:rsidRPr="0072588B">
          <w:rPr>
            <w:rFonts w:ascii="Verdana" w:eastAsia="Times New Roman" w:hAnsi="Verdana" w:cs="Times New Roman"/>
            <w:color w:val="0000FF"/>
            <w:sz w:val="20"/>
            <w:szCs w:val="20"/>
            <w:u w:val="single"/>
            <w:lang w:eastAsia="es-AR"/>
          </w:rPr>
          <w:t>8</w:t>
        </w:r>
      </w:hyperlink>
      <w:r w:rsidR="0072588B" w:rsidRPr="0072588B">
        <w:rPr>
          <w:rFonts w:ascii="Times New Roman" w:eastAsia="Times New Roman" w:hAnsi="Times New Roman" w:cs="Times New Roman"/>
          <w:color w:val="000000"/>
          <w:sz w:val="27"/>
          <w:szCs w:val="27"/>
          <w:lang w:eastAsia="es-AR"/>
        </w:rPr>
        <w:t> Comenta Meyerhold, en 1907, que “en el teatro de la convención consciente, el espectador no olvida un instante que tiene delante a un actor que representa, como el actor no olvida un instante que se trata de colores, de tela, de pinceles y, sin embargo, se percibe un sentimiento de la vida sublimado, depurado. Sucede, a menudo, que, cuanto más parece un cuadro, más potente es el sentimiento de la vida” (Meyerhold, Teoría Teatral 54). Es un teatro que lucha contra la ilusión que quería plasmar a toda costa el teatro naturalista.</w:t>
      </w:r>
    </w:p>
    <w:p w14:paraId="446565E1"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14" w:anchor="nota9" w:history="1">
        <w:r w:rsidR="0072588B" w:rsidRPr="0072588B">
          <w:rPr>
            <w:rFonts w:ascii="Verdana" w:eastAsia="Times New Roman" w:hAnsi="Verdana" w:cs="Times New Roman"/>
            <w:color w:val="0000FF"/>
            <w:sz w:val="20"/>
            <w:szCs w:val="20"/>
            <w:u w:val="single"/>
            <w:lang w:eastAsia="es-AR"/>
          </w:rPr>
          <w:t>9</w:t>
        </w:r>
      </w:hyperlink>
      <w:r w:rsidR="0072588B" w:rsidRPr="0072588B">
        <w:rPr>
          <w:rFonts w:ascii="Times New Roman" w:eastAsia="Times New Roman" w:hAnsi="Times New Roman" w:cs="Times New Roman"/>
          <w:color w:val="000000"/>
          <w:sz w:val="27"/>
          <w:szCs w:val="27"/>
          <w:lang w:eastAsia="es-AR"/>
        </w:rPr>
        <w:t xml:space="preserve"> Eugenio Barba, en su artículo “Abuelos y Huérfanos”, habla sobre la perspicacia que deben tener tanto el espectador como el actor: “No quiere decir que uno y otro perciban la misma experiencia realizando la acción teatral o asistiendo a ella. Un actor puede realizar una exploración personal y buscar un sentido, en y con el microcosmos de su cuerpo-mente, que permanece independiente en relación con el sentido y la exploración que realiza el espectador asistiendo al espectáculo” (Barba y </w:t>
      </w:r>
      <w:proofErr w:type="spellStart"/>
      <w:r w:rsidR="0072588B" w:rsidRPr="0072588B">
        <w:rPr>
          <w:rFonts w:ascii="Times New Roman" w:eastAsia="Times New Roman" w:hAnsi="Times New Roman" w:cs="Times New Roman"/>
          <w:color w:val="000000"/>
          <w:sz w:val="27"/>
          <w:szCs w:val="27"/>
          <w:lang w:eastAsia="es-AR"/>
        </w:rPr>
        <w:t>Savarese</w:t>
      </w:r>
      <w:proofErr w:type="spellEnd"/>
      <w:r w:rsidR="0072588B" w:rsidRPr="0072588B">
        <w:rPr>
          <w:rFonts w:ascii="Times New Roman" w:eastAsia="Times New Roman" w:hAnsi="Times New Roman" w:cs="Times New Roman"/>
          <w:color w:val="000000"/>
          <w:sz w:val="27"/>
          <w:szCs w:val="27"/>
          <w:lang w:eastAsia="es-AR"/>
        </w:rPr>
        <w:t xml:space="preserve"> 89).</w:t>
      </w:r>
    </w:p>
    <w:p w14:paraId="01024D72"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15" w:anchor="nota10" w:history="1">
        <w:r w:rsidR="0072588B" w:rsidRPr="0072588B">
          <w:rPr>
            <w:rFonts w:ascii="Verdana" w:eastAsia="Times New Roman" w:hAnsi="Verdana" w:cs="Times New Roman"/>
            <w:color w:val="0000FF"/>
            <w:sz w:val="20"/>
            <w:szCs w:val="20"/>
            <w:u w:val="single"/>
            <w:lang w:eastAsia="es-AR"/>
          </w:rPr>
          <w:t>10</w:t>
        </w:r>
      </w:hyperlink>
      <w:r w:rsidR="0072588B" w:rsidRPr="0072588B">
        <w:rPr>
          <w:rFonts w:ascii="Times New Roman" w:eastAsia="Times New Roman" w:hAnsi="Times New Roman" w:cs="Times New Roman"/>
          <w:color w:val="000000"/>
          <w:sz w:val="27"/>
          <w:szCs w:val="27"/>
          <w:lang w:eastAsia="es-AR"/>
        </w:rPr>
        <w:t> El género grotesco, aplicado al teatro, la dramaturgia y la presentación escénica, tiene la intención de “conservar su esencial función de principio de deformación, con el suplemento por si fuere poco de un enorme sentido de lo concreto y del detalle naturalista” (Pavis 227).</w:t>
      </w:r>
    </w:p>
    <w:p w14:paraId="5061C6AF"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16" w:anchor="nota11" w:history="1">
        <w:r w:rsidR="0072588B" w:rsidRPr="0072588B">
          <w:rPr>
            <w:rFonts w:ascii="Verdana" w:eastAsia="Times New Roman" w:hAnsi="Verdana" w:cs="Times New Roman"/>
            <w:color w:val="0000FF"/>
            <w:sz w:val="20"/>
            <w:szCs w:val="20"/>
            <w:u w:val="single"/>
            <w:lang w:eastAsia="es-AR"/>
          </w:rPr>
          <w:t>11</w:t>
        </w:r>
      </w:hyperlink>
      <w:r w:rsidR="0072588B" w:rsidRPr="0072588B">
        <w:rPr>
          <w:rFonts w:ascii="Times New Roman" w:eastAsia="Times New Roman" w:hAnsi="Times New Roman" w:cs="Times New Roman"/>
          <w:color w:val="000000"/>
          <w:sz w:val="27"/>
          <w:szCs w:val="27"/>
          <w:lang w:eastAsia="es-AR"/>
        </w:rPr>
        <w:t> En su escrito “El grotesco como forma escénica” de 1912, Meyerhold recurre a un ejemplo para mostrar cómo la vida puede verse con otra óptica a través de los contrastes: “En un día otoñal, lluvioso, por la calle se alarga un cortejo fúnebre. Por la actitud que adoptan las gentes que marchan tras el féretro, se ve una profunda condolencia; de repente, el viento arranca el sombrero de la cabeza de uno de los apenados acompañantes. Se inclina a recogerlo, pero el viento se lo lleva de una parte a otra. Cada salto del compungido señor tras el sombrero obliga a su cuerpo a contorsiones tan cómicas, que una mano diabólica transforma de repente el tétrico cortejo fúnebre en multitud festiva. ¡</w:t>
      </w:r>
      <w:proofErr w:type="gramStart"/>
      <w:r w:rsidR="0072588B" w:rsidRPr="0072588B">
        <w:rPr>
          <w:rFonts w:ascii="Times New Roman" w:eastAsia="Times New Roman" w:hAnsi="Times New Roman" w:cs="Times New Roman"/>
          <w:color w:val="000000"/>
          <w:sz w:val="27"/>
          <w:szCs w:val="27"/>
          <w:lang w:eastAsia="es-AR"/>
        </w:rPr>
        <w:t>Ojala</w:t>
      </w:r>
      <w:proofErr w:type="gramEnd"/>
      <w:r w:rsidR="0072588B" w:rsidRPr="0072588B">
        <w:rPr>
          <w:rFonts w:ascii="Times New Roman" w:eastAsia="Times New Roman" w:hAnsi="Times New Roman" w:cs="Times New Roman"/>
          <w:color w:val="000000"/>
          <w:sz w:val="27"/>
          <w:szCs w:val="27"/>
          <w:lang w:eastAsia="es-AR"/>
        </w:rPr>
        <w:t xml:space="preserve"> pudiésemos lograr este efecto sobre el escenario! Contraste” (Meyerhold: Textos Teóricos 195).</w:t>
      </w:r>
    </w:p>
    <w:p w14:paraId="52101139"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17" w:anchor="nota12" w:history="1">
        <w:r w:rsidR="0072588B" w:rsidRPr="0072588B">
          <w:rPr>
            <w:rFonts w:ascii="Verdana" w:eastAsia="Times New Roman" w:hAnsi="Verdana" w:cs="Times New Roman"/>
            <w:color w:val="0000FF"/>
            <w:sz w:val="20"/>
            <w:szCs w:val="20"/>
            <w:u w:val="single"/>
            <w:lang w:eastAsia="es-AR"/>
          </w:rPr>
          <w:t>12</w:t>
        </w:r>
      </w:hyperlink>
      <w:r w:rsidR="0072588B" w:rsidRPr="0072588B">
        <w:rPr>
          <w:rFonts w:ascii="Times New Roman" w:eastAsia="Times New Roman" w:hAnsi="Times New Roman" w:cs="Times New Roman"/>
          <w:color w:val="000000"/>
          <w:sz w:val="27"/>
          <w:szCs w:val="27"/>
          <w:lang w:eastAsia="es-AR"/>
        </w:rPr>
        <w:t xml:space="preserve"> Aparte de la técnica en movimiento que se daba en su programa de estudio, Meyerhold hizo estudiar a sus actores </w:t>
      </w:r>
      <w:proofErr w:type="spellStart"/>
      <w:r w:rsidR="0072588B" w:rsidRPr="0072588B">
        <w:rPr>
          <w:rFonts w:ascii="Times New Roman" w:eastAsia="Times New Roman" w:hAnsi="Times New Roman" w:cs="Times New Roman"/>
          <w:color w:val="000000"/>
          <w:sz w:val="27"/>
          <w:szCs w:val="27"/>
          <w:lang w:eastAsia="es-AR"/>
        </w:rPr>
        <w:t>Commedia</w:t>
      </w:r>
      <w:proofErr w:type="spellEnd"/>
      <w:r w:rsidR="0072588B" w:rsidRPr="0072588B">
        <w:rPr>
          <w:rFonts w:ascii="Times New Roman" w:eastAsia="Times New Roman" w:hAnsi="Times New Roman" w:cs="Times New Roman"/>
          <w:color w:val="000000"/>
          <w:sz w:val="27"/>
          <w:szCs w:val="27"/>
          <w:lang w:eastAsia="es-AR"/>
        </w:rPr>
        <w:t xml:space="preserve"> </w:t>
      </w:r>
      <w:proofErr w:type="spellStart"/>
      <w:r w:rsidR="0072588B" w:rsidRPr="0072588B">
        <w:rPr>
          <w:rFonts w:ascii="Times New Roman" w:eastAsia="Times New Roman" w:hAnsi="Times New Roman" w:cs="Times New Roman"/>
          <w:color w:val="000000"/>
          <w:sz w:val="27"/>
          <w:szCs w:val="27"/>
          <w:lang w:eastAsia="es-AR"/>
        </w:rPr>
        <w:t>dell’Arte</w:t>
      </w:r>
      <w:proofErr w:type="spellEnd"/>
      <w:r w:rsidR="0072588B" w:rsidRPr="0072588B">
        <w:rPr>
          <w:rFonts w:ascii="Times New Roman" w:eastAsia="Times New Roman" w:hAnsi="Times New Roman" w:cs="Times New Roman"/>
          <w:color w:val="000000"/>
          <w:sz w:val="27"/>
          <w:szCs w:val="27"/>
          <w:lang w:eastAsia="es-AR"/>
        </w:rPr>
        <w:t xml:space="preserve">, teatro de los siglos </w:t>
      </w:r>
      <w:proofErr w:type="spellStart"/>
      <w:r w:rsidR="0072588B" w:rsidRPr="0072588B">
        <w:rPr>
          <w:rFonts w:ascii="Times New Roman" w:eastAsia="Times New Roman" w:hAnsi="Times New Roman" w:cs="Times New Roman"/>
          <w:color w:val="000000"/>
          <w:sz w:val="27"/>
          <w:szCs w:val="27"/>
          <w:lang w:eastAsia="es-AR"/>
        </w:rPr>
        <w:t>xviii</w:t>
      </w:r>
      <w:proofErr w:type="spellEnd"/>
      <w:r w:rsidR="0072588B" w:rsidRPr="0072588B">
        <w:rPr>
          <w:rFonts w:ascii="Times New Roman" w:eastAsia="Times New Roman" w:hAnsi="Times New Roman" w:cs="Times New Roman"/>
          <w:color w:val="000000"/>
          <w:sz w:val="27"/>
          <w:szCs w:val="27"/>
          <w:lang w:eastAsia="es-AR"/>
        </w:rPr>
        <w:t xml:space="preserve"> y </w:t>
      </w:r>
      <w:proofErr w:type="spellStart"/>
      <w:r w:rsidR="0072588B" w:rsidRPr="0072588B">
        <w:rPr>
          <w:rFonts w:ascii="Times New Roman" w:eastAsia="Times New Roman" w:hAnsi="Times New Roman" w:cs="Times New Roman"/>
          <w:color w:val="000000"/>
          <w:sz w:val="27"/>
          <w:szCs w:val="27"/>
          <w:lang w:eastAsia="es-AR"/>
        </w:rPr>
        <w:t>xix</w:t>
      </w:r>
      <w:proofErr w:type="spellEnd"/>
      <w:r w:rsidR="0072588B" w:rsidRPr="0072588B">
        <w:rPr>
          <w:rFonts w:ascii="Times New Roman" w:eastAsia="Times New Roman" w:hAnsi="Times New Roman" w:cs="Times New Roman"/>
          <w:color w:val="000000"/>
          <w:sz w:val="27"/>
          <w:szCs w:val="27"/>
          <w:lang w:eastAsia="es-AR"/>
        </w:rPr>
        <w:t>, teatro oriental, circo, danza, música, así como deportes como atletismo ligero, esgrima, tenis, lanzamiento de disco y navegación a vela.</w:t>
      </w:r>
    </w:p>
    <w:p w14:paraId="4D71A15B"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18" w:anchor="nota13" w:history="1">
        <w:r w:rsidR="0072588B" w:rsidRPr="0072588B">
          <w:rPr>
            <w:rFonts w:ascii="Verdana" w:eastAsia="Times New Roman" w:hAnsi="Verdana" w:cs="Times New Roman"/>
            <w:color w:val="0000FF"/>
            <w:sz w:val="20"/>
            <w:szCs w:val="20"/>
            <w:u w:val="single"/>
            <w:lang w:eastAsia="es-AR"/>
          </w:rPr>
          <w:t>13</w:t>
        </w:r>
      </w:hyperlink>
      <w:r w:rsidR="0072588B" w:rsidRPr="0072588B">
        <w:rPr>
          <w:rFonts w:ascii="Times New Roman" w:eastAsia="Times New Roman" w:hAnsi="Times New Roman" w:cs="Times New Roman"/>
          <w:color w:val="000000"/>
          <w:sz w:val="27"/>
          <w:szCs w:val="27"/>
          <w:lang w:eastAsia="es-AR"/>
        </w:rPr>
        <w:t> “Hablo de técnicas corporales porque se puede hacer la teoría de la técnica de los cuerpos partiendo de un estudio, de una exposición, de una simple y pura descripción de las técnicas corporales. Con esa palabra quiero expresar la forma en que los hombres, sociedad por sociedad, hacen uso de su cuerpo en una forma tradicional” (Mauss 337).</w:t>
      </w:r>
    </w:p>
    <w:p w14:paraId="1B47FE3F"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19" w:anchor="nota14" w:history="1">
        <w:r w:rsidR="0072588B" w:rsidRPr="0072588B">
          <w:rPr>
            <w:rFonts w:ascii="Verdana" w:eastAsia="Times New Roman" w:hAnsi="Verdana" w:cs="Times New Roman"/>
            <w:color w:val="0000FF"/>
            <w:sz w:val="20"/>
            <w:szCs w:val="20"/>
            <w:u w:val="single"/>
            <w:lang w:eastAsia="es-AR"/>
          </w:rPr>
          <w:t>14</w:t>
        </w:r>
      </w:hyperlink>
      <w:r w:rsidR="0072588B" w:rsidRPr="0072588B">
        <w:rPr>
          <w:rFonts w:ascii="Times New Roman" w:eastAsia="Times New Roman" w:hAnsi="Times New Roman" w:cs="Times New Roman"/>
          <w:color w:val="000000"/>
          <w:sz w:val="27"/>
          <w:szCs w:val="27"/>
          <w:lang w:eastAsia="es-AR"/>
        </w:rPr>
        <w:t> El taylorismo fue un método de organización del trabajo creado por el ingeniero Frederick Winslow Taylor (1856-1915), con la intención de aumentar la productividad por medio de la máxima división de tareas, en las cuales cada trabajador se especializa y así controla estrictamente el tiempo para la realización de dicha tarea. Meyerhold encontró en estos movimientos especializados una economía del cuerpo que se plasmaban como movimientos rítmicos y fluidos, que permiten tener control sobre el cuerpo; eso mismo es lo que le interesa a la biomecánica.</w:t>
      </w:r>
    </w:p>
    <w:p w14:paraId="33F176BA"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20" w:anchor="nota15" w:history="1">
        <w:r w:rsidR="0072588B" w:rsidRPr="0072588B">
          <w:rPr>
            <w:rFonts w:ascii="Verdana" w:eastAsia="Times New Roman" w:hAnsi="Verdana" w:cs="Times New Roman"/>
            <w:color w:val="0000FF"/>
            <w:sz w:val="20"/>
            <w:szCs w:val="20"/>
            <w:u w:val="single"/>
            <w:lang w:eastAsia="es-AR"/>
          </w:rPr>
          <w:t>15</w:t>
        </w:r>
      </w:hyperlink>
      <w:r w:rsidR="0072588B" w:rsidRPr="0072588B">
        <w:rPr>
          <w:rFonts w:ascii="Times New Roman" w:eastAsia="Times New Roman" w:hAnsi="Times New Roman" w:cs="Times New Roman"/>
          <w:color w:val="000000"/>
          <w:sz w:val="27"/>
          <w:szCs w:val="27"/>
          <w:lang w:eastAsia="es-AR"/>
        </w:rPr>
        <w:t xml:space="preserve"> La reflexología de Iván </w:t>
      </w:r>
      <w:proofErr w:type="spellStart"/>
      <w:r w:rsidR="0072588B" w:rsidRPr="0072588B">
        <w:rPr>
          <w:rFonts w:ascii="Times New Roman" w:eastAsia="Times New Roman" w:hAnsi="Times New Roman" w:cs="Times New Roman"/>
          <w:color w:val="000000"/>
          <w:sz w:val="27"/>
          <w:szCs w:val="27"/>
          <w:lang w:eastAsia="es-AR"/>
        </w:rPr>
        <w:t>Petrovich</w:t>
      </w:r>
      <w:proofErr w:type="spellEnd"/>
      <w:r w:rsidR="0072588B" w:rsidRPr="0072588B">
        <w:rPr>
          <w:rFonts w:ascii="Times New Roman" w:eastAsia="Times New Roman" w:hAnsi="Times New Roman" w:cs="Times New Roman"/>
          <w:color w:val="000000"/>
          <w:sz w:val="27"/>
          <w:szCs w:val="27"/>
          <w:lang w:eastAsia="es-AR"/>
        </w:rPr>
        <w:t xml:space="preserve"> Pavlov (1949-1936) es el nombre dado a su escuela de psicología en Rusia. Los estudios de esta escuela tienen una estrecha relación con los procesos fisiológicos; en síntesis, reducen los procesos mentales y psicológicos a procesos fisiológicos, proponiendo un orden diferente de intervención en el cuerpo-mente.</w:t>
      </w:r>
    </w:p>
    <w:p w14:paraId="51648E1E"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21" w:anchor="nota16" w:history="1">
        <w:r w:rsidR="0072588B" w:rsidRPr="0072588B">
          <w:rPr>
            <w:rFonts w:ascii="Verdana" w:eastAsia="Times New Roman" w:hAnsi="Verdana" w:cs="Times New Roman"/>
            <w:color w:val="0000FF"/>
            <w:sz w:val="20"/>
            <w:szCs w:val="20"/>
            <w:u w:val="single"/>
            <w:lang w:eastAsia="es-AR"/>
          </w:rPr>
          <w:t>16</w:t>
        </w:r>
      </w:hyperlink>
      <w:r w:rsidR="0072588B" w:rsidRPr="0072588B">
        <w:rPr>
          <w:rFonts w:ascii="Times New Roman" w:eastAsia="Times New Roman" w:hAnsi="Times New Roman" w:cs="Times New Roman"/>
          <w:color w:val="000000"/>
          <w:sz w:val="27"/>
          <w:szCs w:val="27"/>
          <w:lang w:eastAsia="es-AR"/>
        </w:rPr>
        <w:t> Conocida como la teoría de James-Lange –ya que la formulación de las hipótesis de William James y Carl Lang se produjeron en la misma época con resultados similares–, ésta interpreta que, provocando una determinada reacción fisiológica, se produce también una emoción. Ejemplo: el circuito estímulo – cambios fisiológicos – corteza cerebral – emoción. Esta forma diferente de intervenir en el cuerpo-mente, también le dio a Meyerhold un impulso para focalizar aspectos físicos que repercuten en los mentales.</w:t>
      </w:r>
    </w:p>
    <w:p w14:paraId="19ACF8DB"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22" w:anchor="nota17" w:history="1">
        <w:r w:rsidR="0072588B" w:rsidRPr="0072588B">
          <w:rPr>
            <w:rFonts w:ascii="Verdana" w:eastAsia="Times New Roman" w:hAnsi="Verdana" w:cs="Times New Roman"/>
            <w:color w:val="0000FF"/>
            <w:sz w:val="20"/>
            <w:szCs w:val="20"/>
            <w:u w:val="single"/>
            <w:lang w:eastAsia="es-AR"/>
          </w:rPr>
          <w:t>17</w:t>
        </w:r>
      </w:hyperlink>
      <w:r w:rsidR="0072588B" w:rsidRPr="0072588B">
        <w:rPr>
          <w:rFonts w:ascii="Times New Roman" w:eastAsia="Times New Roman" w:hAnsi="Times New Roman" w:cs="Times New Roman"/>
          <w:color w:val="000000"/>
          <w:sz w:val="27"/>
          <w:szCs w:val="27"/>
          <w:lang w:eastAsia="es-AR"/>
        </w:rPr>
        <w:t xml:space="preserve"> Beatrice </w:t>
      </w:r>
      <w:proofErr w:type="spellStart"/>
      <w:r w:rsidR="0072588B" w:rsidRPr="0072588B">
        <w:rPr>
          <w:rFonts w:ascii="Times New Roman" w:eastAsia="Times New Roman" w:hAnsi="Times New Roman" w:cs="Times New Roman"/>
          <w:color w:val="000000"/>
          <w:sz w:val="27"/>
          <w:szCs w:val="27"/>
          <w:lang w:eastAsia="es-AR"/>
        </w:rPr>
        <w:t>Picon-Vallin</w:t>
      </w:r>
      <w:proofErr w:type="spellEnd"/>
      <w:r w:rsidR="0072588B" w:rsidRPr="0072588B">
        <w:rPr>
          <w:rFonts w:ascii="Times New Roman" w:eastAsia="Times New Roman" w:hAnsi="Times New Roman" w:cs="Times New Roman"/>
          <w:color w:val="000000"/>
          <w:sz w:val="27"/>
          <w:szCs w:val="27"/>
          <w:lang w:eastAsia="es-AR"/>
        </w:rPr>
        <w:t xml:space="preserve"> es una de las mayores especialistas sobre Vsevolod Meyerhold. Ha traducido la obra completa del autor y trabaja en el laboratorio de investigación en las Artes Escénica (Centre </w:t>
      </w:r>
      <w:proofErr w:type="spellStart"/>
      <w:r w:rsidR="0072588B" w:rsidRPr="0072588B">
        <w:rPr>
          <w:rFonts w:ascii="Times New Roman" w:eastAsia="Times New Roman" w:hAnsi="Times New Roman" w:cs="Times New Roman"/>
          <w:color w:val="000000"/>
          <w:sz w:val="27"/>
          <w:szCs w:val="27"/>
          <w:lang w:eastAsia="es-AR"/>
        </w:rPr>
        <w:t>National</w:t>
      </w:r>
      <w:proofErr w:type="spellEnd"/>
      <w:r w:rsidR="0072588B" w:rsidRPr="0072588B">
        <w:rPr>
          <w:rFonts w:ascii="Times New Roman" w:eastAsia="Times New Roman" w:hAnsi="Times New Roman" w:cs="Times New Roman"/>
          <w:color w:val="000000"/>
          <w:sz w:val="27"/>
          <w:szCs w:val="27"/>
          <w:lang w:eastAsia="es-AR"/>
        </w:rPr>
        <w:t xml:space="preserve"> de la </w:t>
      </w:r>
      <w:proofErr w:type="spellStart"/>
      <w:r w:rsidR="0072588B" w:rsidRPr="0072588B">
        <w:rPr>
          <w:rFonts w:ascii="Times New Roman" w:eastAsia="Times New Roman" w:hAnsi="Times New Roman" w:cs="Times New Roman"/>
          <w:color w:val="000000"/>
          <w:sz w:val="27"/>
          <w:szCs w:val="27"/>
          <w:lang w:eastAsia="es-AR"/>
        </w:rPr>
        <w:t>Recherche</w:t>
      </w:r>
      <w:proofErr w:type="spellEnd"/>
      <w:r w:rsidR="0072588B" w:rsidRPr="0072588B">
        <w:rPr>
          <w:rFonts w:ascii="Times New Roman" w:eastAsia="Times New Roman" w:hAnsi="Times New Roman" w:cs="Times New Roman"/>
          <w:color w:val="000000"/>
          <w:sz w:val="27"/>
          <w:szCs w:val="27"/>
          <w:lang w:eastAsia="es-AR"/>
        </w:rPr>
        <w:t xml:space="preserve"> </w:t>
      </w:r>
      <w:proofErr w:type="spellStart"/>
      <w:r w:rsidR="0072588B" w:rsidRPr="0072588B">
        <w:rPr>
          <w:rFonts w:ascii="Times New Roman" w:eastAsia="Times New Roman" w:hAnsi="Times New Roman" w:cs="Times New Roman"/>
          <w:color w:val="000000"/>
          <w:sz w:val="27"/>
          <w:szCs w:val="27"/>
          <w:lang w:eastAsia="es-AR"/>
        </w:rPr>
        <w:t>Scientifique</w:t>
      </w:r>
      <w:proofErr w:type="spellEnd"/>
      <w:r w:rsidR="0072588B" w:rsidRPr="0072588B">
        <w:rPr>
          <w:rFonts w:ascii="Times New Roman" w:eastAsia="Times New Roman" w:hAnsi="Times New Roman" w:cs="Times New Roman"/>
          <w:color w:val="000000"/>
          <w:sz w:val="27"/>
          <w:szCs w:val="27"/>
          <w:lang w:eastAsia="es-AR"/>
        </w:rPr>
        <w:t>) de París.</w:t>
      </w:r>
    </w:p>
    <w:p w14:paraId="1BD3A8E0"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23" w:anchor="nota18" w:history="1">
        <w:r w:rsidR="0072588B" w:rsidRPr="0072588B">
          <w:rPr>
            <w:rFonts w:ascii="Verdana" w:eastAsia="Times New Roman" w:hAnsi="Verdana" w:cs="Times New Roman"/>
            <w:color w:val="0000FF"/>
            <w:sz w:val="20"/>
            <w:szCs w:val="20"/>
            <w:u w:val="single"/>
            <w:lang w:eastAsia="es-AR"/>
          </w:rPr>
          <w:t>18</w:t>
        </w:r>
      </w:hyperlink>
      <w:r w:rsidR="0072588B" w:rsidRPr="0072588B">
        <w:rPr>
          <w:rFonts w:ascii="Times New Roman" w:eastAsia="Times New Roman" w:hAnsi="Times New Roman" w:cs="Times New Roman"/>
          <w:color w:val="000000"/>
          <w:sz w:val="27"/>
          <w:szCs w:val="27"/>
          <w:lang w:eastAsia="es-AR"/>
        </w:rPr>
        <w:t> Según Barba, entre los principios recurrentes que pueden encontrarse a través de diferentes tradiciones escénicas de Oriente y Occidente, se encuentran tres leyes: la alteración del equilibrio, la oposición, y la ley de la no-coherencia coherente.</w:t>
      </w:r>
    </w:p>
    <w:p w14:paraId="22025F83"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24" w:anchor="nota19" w:history="1">
        <w:r w:rsidR="0072588B" w:rsidRPr="0072588B">
          <w:rPr>
            <w:rFonts w:ascii="Verdana" w:eastAsia="Times New Roman" w:hAnsi="Verdana" w:cs="Times New Roman"/>
            <w:color w:val="0000FF"/>
            <w:sz w:val="20"/>
            <w:szCs w:val="20"/>
            <w:u w:val="single"/>
            <w:lang w:eastAsia="es-AR"/>
          </w:rPr>
          <w:t>19</w:t>
        </w:r>
      </w:hyperlink>
      <w:r w:rsidR="0072588B" w:rsidRPr="0072588B">
        <w:rPr>
          <w:rFonts w:ascii="Times New Roman" w:eastAsia="Times New Roman" w:hAnsi="Times New Roman" w:cs="Times New Roman"/>
          <w:color w:val="000000"/>
          <w:sz w:val="27"/>
          <w:szCs w:val="27"/>
          <w:lang w:eastAsia="es-AR"/>
        </w:rPr>
        <w:t xml:space="preserve"> Palabra rusa que significa “rechazo”. Según </w:t>
      </w:r>
      <w:proofErr w:type="spellStart"/>
      <w:r w:rsidR="0072588B" w:rsidRPr="0072588B">
        <w:rPr>
          <w:rFonts w:ascii="Times New Roman" w:eastAsia="Times New Roman" w:hAnsi="Times New Roman" w:cs="Times New Roman"/>
          <w:color w:val="000000"/>
          <w:sz w:val="27"/>
          <w:szCs w:val="27"/>
          <w:lang w:eastAsia="es-AR"/>
        </w:rPr>
        <w:t>Picon-Vallin</w:t>
      </w:r>
      <w:proofErr w:type="spellEnd"/>
      <w:r w:rsidR="0072588B" w:rsidRPr="0072588B">
        <w:rPr>
          <w:rFonts w:ascii="Times New Roman" w:eastAsia="Times New Roman" w:hAnsi="Times New Roman" w:cs="Times New Roman"/>
          <w:color w:val="000000"/>
          <w:sz w:val="27"/>
          <w:szCs w:val="27"/>
          <w:lang w:eastAsia="es-AR"/>
        </w:rPr>
        <w:t>, el concepto de otkas es esencial en la biomecánica: “Enunciado en 1914 en el estudio de San Petersburgo, es contemporáneamente definido como un elemento de segmentación de la línea principal de la acción (separación respecto al movimiento precedente [...]) y como un movimiento en contrasentido, que se opone a la dirección del movimiento [...]” (</w:t>
      </w:r>
      <w:proofErr w:type="spellStart"/>
      <w:r w:rsidR="0072588B" w:rsidRPr="0072588B">
        <w:rPr>
          <w:rFonts w:ascii="Times New Roman" w:eastAsia="Times New Roman" w:hAnsi="Times New Roman" w:cs="Times New Roman"/>
          <w:color w:val="000000"/>
          <w:sz w:val="27"/>
          <w:szCs w:val="27"/>
          <w:lang w:eastAsia="es-AR"/>
        </w:rPr>
        <w:t>Picon-Vallin</w:t>
      </w:r>
      <w:proofErr w:type="spellEnd"/>
      <w:r w:rsidR="0072588B" w:rsidRPr="0072588B">
        <w:rPr>
          <w:rFonts w:ascii="Times New Roman" w:eastAsia="Times New Roman" w:hAnsi="Times New Roman" w:cs="Times New Roman"/>
          <w:color w:val="000000"/>
          <w:sz w:val="27"/>
          <w:szCs w:val="27"/>
          <w:lang w:eastAsia="es-AR"/>
        </w:rPr>
        <w:t xml:space="preserve">, </w:t>
      </w:r>
      <w:proofErr w:type="spellStart"/>
      <w:r w:rsidR="0072588B" w:rsidRPr="0072588B">
        <w:rPr>
          <w:rFonts w:ascii="Times New Roman" w:eastAsia="Times New Roman" w:hAnsi="Times New Roman" w:cs="Times New Roman"/>
          <w:color w:val="000000"/>
          <w:sz w:val="27"/>
          <w:szCs w:val="27"/>
          <w:lang w:eastAsia="es-AR"/>
        </w:rPr>
        <w:t>Il</w:t>
      </w:r>
      <w:proofErr w:type="spellEnd"/>
      <w:r w:rsidR="0072588B" w:rsidRPr="0072588B">
        <w:rPr>
          <w:rFonts w:ascii="Times New Roman" w:eastAsia="Times New Roman" w:hAnsi="Times New Roman" w:cs="Times New Roman"/>
          <w:color w:val="000000"/>
          <w:sz w:val="27"/>
          <w:szCs w:val="27"/>
          <w:lang w:eastAsia="es-AR"/>
        </w:rPr>
        <w:t xml:space="preserve"> </w:t>
      </w:r>
      <w:proofErr w:type="spellStart"/>
      <w:r w:rsidR="0072588B" w:rsidRPr="0072588B">
        <w:rPr>
          <w:rFonts w:ascii="Times New Roman" w:eastAsia="Times New Roman" w:hAnsi="Times New Roman" w:cs="Times New Roman"/>
          <w:color w:val="000000"/>
          <w:sz w:val="27"/>
          <w:szCs w:val="27"/>
          <w:lang w:eastAsia="es-AR"/>
        </w:rPr>
        <w:t>lavoro</w:t>
      </w:r>
      <w:proofErr w:type="spellEnd"/>
      <w:r w:rsidR="0072588B" w:rsidRPr="0072588B">
        <w:rPr>
          <w:rFonts w:ascii="Times New Roman" w:eastAsia="Times New Roman" w:hAnsi="Times New Roman" w:cs="Times New Roman"/>
          <w:color w:val="000000"/>
          <w:sz w:val="27"/>
          <w:szCs w:val="27"/>
          <w:lang w:eastAsia="es-AR"/>
        </w:rPr>
        <w:t xml:space="preserve"> </w:t>
      </w:r>
      <w:proofErr w:type="spellStart"/>
      <w:r w:rsidR="0072588B" w:rsidRPr="0072588B">
        <w:rPr>
          <w:rFonts w:ascii="Times New Roman" w:eastAsia="Times New Roman" w:hAnsi="Times New Roman" w:cs="Times New Roman"/>
          <w:color w:val="000000"/>
          <w:sz w:val="27"/>
          <w:szCs w:val="27"/>
          <w:lang w:eastAsia="es-AR"/>
        </w:rPr>
        <w:t>dell’attore</w:t>
      </w:r>
      <w:proofErr w:type="spellEnd"/>
      <w:r w:rsidR="0072588B" w:rsidRPr="0072588B">
        <w:rPr>
          <w:rFonts w:ascii="Times New Roman" w:eastAsia="Times New Roman" w:hAnsi="Times New Roman" w:cs="Times New Roman"/>
          <w:color w:val="000000"/>
          <w:sz w:val="27"/>
          <w:szCs w:val="27"/>
          <w:lang w:eastAsia="es-AR"/>
        </w:rPr>
        <w:t xml:space="preserve"> 104-105).</w:t>
      </w:r>
    </w:p>
    <w:p w14:paraId="5016D8AA"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25" w:anchor="nota20" w:history="1">
        <w:r w:rsidR="0072588B" w:rsidRPr="0072588B">
          <w:rPr>
            <w:rFonts w:ascii="Verdana" w:eastAsia="Times New Roman" w:hAnsi="Verdana" w:cs="Times New Roman"/>
            <w:color w:val="0000FF"/>
            <w:sz w:val="20"/>
            <w:szCs w:val="20"/>
            <w:u w:val="single"/>
            <w:lang w:eastAsia="es-AR"/>
          </w:rPr>
          <w:t>20</w:t>
        </w:r>
      </w:hyperlink>
      <w:r w:rsidR="0072588B" w:rsidRPr="0072588B">
        <w:rPr>
          <w:rFonts w:ascii="Times New Roman" w:eastAsia="Times New Roman" w:hAnsi="Times New Roman" w:cs="Times New Roman"/>
          <w:color w:val="000000"/>
          <w:sz w:val="27"/>
          <w:szCs w:val="27"/>
          <w:lang w:eastAsia="es-AR"/>
        </w:rPr>
        <w:t> En la ley de la oposición, el actor activa todo su sistema interno de percepción por medio de movimientos sinuosos, nuevas tensiones se hacen latentes. Barba afirma que la danza de las oposiciones se baila en el cuerpo, antes que con el cuerpo.</w:t>
      </w:r>
    </w:p>
    <w:p w14:paraId="1782D4D1"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26" w:anchor="nota21" w:history="1">
        <w:r w:rsidR="0072588B" w:rsidRPr="0072588B">
          <w:rPr>
            <w:rFonts w:ascii="Verdana" w:eastAsia="Times New Roman" w:hAnsi="Verdana" w:cs="Times New Roman"/>
            <w:color w:val="0000FF"/>
            <w:sz w:val="20"/>
            <w:szCs w:val="20"/>
            <w:u w:val="single"/>
            <w:lang w:eastAsia="es-AR"/>
          </w:rPr>
          <w:t>21</w:t>
        </w:r>
      </w:hyperlink>
      <w:r w:rsidR="0072588B" w:rsidRPr="0072588B">
        <w:rPr>
          <w:rFonts w:ascii="Times New Roman" w:eastAsia="Times New Roman" w:hAnsi="Times New Roman" w:cs="Times New Roman"/>
          <w:color w:val="000000"/>
          <w:sz w:val="27"/>
          <w:szCs w:val="27"/>
          <w:lang w:eastAsia="es-AR"/>
        </w:rPr>
        <w:t xml:space="preserve"> Palabra rusa que significa “enviar”. Según Borja Ruiz, el concepto de </w:t>
      </w:r>
      <w:proofErr w:type="spellStart"/>
      <w:r w:rsidR="0072588B" w:rsidRPr="0072588B">
        <w:rPr>
          <w:rFonts w:ascii="Times New Roman" w:eastAsia="Times New Roman" w:hAnsi="Times New Roman" w:cs="Times New Roman"/>
          <w:color w:val="000000"/>
          <w:sz w:val="27"/>
          <w:szCs w:val="27"/>
          <w:lang w:eastAsia="es-AR"/>
        </w:rPr>
        <w:t>posyl</w:t>
      </w:r>
      <w:proofErr w:type="spellEnd"/>
      <w:r w:rsidR="0072588B" w:rsidRPr="0072588B">
        <w:rPr>
          <w:rFonts w:ascii="Times New Roman" w:eastAsia="Times New Roman" w:hAnsi="Times New Roman" w:cs="Times New Roman"/>
          <w:color w:val="000000"/>
          <w:sz w:val="27"/>
          <w:szCs w:val="27"/>
          <w:lang w:eastAsia="es-AR"/>
        </w:rPr>
        <w:t xml:space="preserve"> “en la biomecánica de Meyerhold, es la acción propiamente dicha, que viene precedida por un ante impulso” (127).</w:t>
      </w:r>
    </w:p>
    <w:p w14:paraId="112B0E5A"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27" w:anchor="nota2" w:history="1">
        <w:r w:rsidR="0072588B" w:rsidRPr="0072588B">
          <w:rPr>
            <w:rFonts w:ascii="Verdana" w:eastAsia="Times New Roman" w:hAnsi="Verdana" w:cs="Times New Roman"/>
            <w:color w:val="0000FF"/>
            <w:sz w:val="20"/>
            <w:szCs w:val="20"/>
            <w:u w:val="single"/>
            <w:lang w:eastAsia="es-AR"/>
          </w:rPr>
          <w:t>22</w:t>
        </w:r>
      </w:hyperlink>
      <w:r w:rsidR="0072588B" w:rsidRPr="0072588B">
        <w:rPr>
          <w:rFonts w:ascii="Times New Roman" w:eastAsia="Times New Roman" w:hAnsi="Times New Roman" w:cs="Times New Roman"/>
          <w:color w:val="000000"/>
          <w:sz w:val="27"/>
          <w:szCs w:val="27"/>
          <w:lang w:eastAsia="es-AR"/>
        </w:rPr>
        <w:t> Palabra rusa que significa “freno”: “en la biomecánica de Meyerhold es la parte final en la ejecución de una acción, donde el impulso que lleva se amortigua hasta llegar a una parada” (</w:t>
      </w:r>
      <w:proofErr w:type="spellStart"/>
      <w:r w:rsidR="0072588B" w:rsidRPr="0072588B">
        <w:rPr>
          <w:rFonts w:ascii="Times New Roman" w:eastAsia="Times New Roman" w:hAnsi="Times New Roman" w:cs="Times New Roman"/>
          <w:color w:val="000000"/>
          <w:sz w:val="27"/>
          <w:szCs w:val="27"/>
          <w:lang w:eastAsia="es-AR"/>
        </w:rPr>
        <w:t>ibídem</w:t>
      </w:r>
      <w:proofErr w:type="spellEnd"/>
      <w:r w:rsidR="0072588B" w:rsidRPr="0072588B">
        <w:rPr>
          <w:rFonts w:ascii="Times New Roman" w:eastAsia="Times New Roman" w:hAnsi="Times New Roman" w:cs="Times New Roman"/>
          <w:color w:val="000000"/>
          <w:sz w:val="27"/>
          <w:szCs w:val="27"/>
          <w:lang w:eastAsia="es-AR"/>
        </w:rPr>
        <w:t>).</w:t>
      </w:r>
    </w:p>
    <w:p w14:paraId="3BD23D8E"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28" w:anchor="nota23" w:history="1">
        <w:r w:rsidR="0072588B" w:rsidRPr="0072588B">
          <w:rPr>
            <w:rFonts w:ascii="Verdana" w:eastAsia="Times New Roman" w:hAnsi="Verdana" w:cs="Times New Roman"/>
            <w:color w:val="0000FF"/>
            <w:sz w:val="20"/>
            <w:szCs w:val="20"/>
            <w:u w:val="single"/>
            <w:lang w:eastAsia="es-AR"/>
          </w:rPr>
          <w:t>23</w:t>
        </w:r>
      </w:hyperlink>
      <w:r w:rsidR="0072588B" w:rsidRPr="0072588B">
        <w:rPr>
          <w:rFonts w:ascii="Times New Roman" w:eastAsia="Times New Roman" w:hAnsi="Times New Roman" w:cs="Times New Roman"/>
          <w:color w:val="000000"/>
          <w:sz w:val="27"/>
          <w:szCs w:val="27"/>
          <w:lang w:eastAsia="es-AR"/>
        </w:rPr>
        <w:t> Palabra rusa que significa “retener”: “en la biomecánica de Meyerhold describe la parada con la que finaliza una acción” (</w:t>
      </w:r>
      <w:proofErr w:type="spellStart"/>
      <w:r w:rsidR="0072588B" w:rsidRPr="0072588B">
        <w:rPr>
          <w:rFonts w:ascii="Times New Roman" w:eastAsia="Times New Roman" w:hAnsi="Times New Roman" w:cs="Times New Roman"/>
          <w:color w:val="000000"/>
          <w:sz w:val="27"/>
          <w:szCs w:val="27"/>
          <w:lang w:eastAsia="es-AR"/>
        </w:rPr>
        <w:t>ibídem</w:t>
      </w:r>
      <w:proofErr w:type="spellEnd"/>
      <w:r w:rsidR="0072588B" w:rsidRPr="0072588B">
        <w:rPr>
          <w:rFonts w:ascii="Times New Roman" w:eastAsia="Times New Roman" w:hAnsi="Times New Roman" w:cs="Times New Roman"/>
          <w:color w:val="000000"/>
          <w:sz w:val="27"/>
          <w:szCs w:val="27"/>
          <w:lang w:eastAsia="es-AR"/>
        </w:rPr>
        <w:t>).</w:t>
      </w:r>
    </w:p>
    <w:p w14:paraId="0B904688" w14:textId="77777777" w:rsidR="0072588B" w:rsidRPr="0072588B" w:rsidRDefault="00FA638B" w:rsidP="0072588B">
      <w:pPr>
        <w:spacing w:before="100" w:beforeAutospacing="1" w:after="100" w:afterAutospacing="1" w:line="240" w:lineRule="auto"/>
        <w:rPr>
          <w:rFonts w:ascii="Times New Roman" w:eastAsia="Times New Roman" w:hAnsi="Times New Roman" w:cs="Times New Roman"/>
          <w:color w:val="000000"/>
          <w:sz w:val="27"/>
          <w:szCs w:val="27"/>
          <w:lang w:eastAsia="es-AR"/>
        </w:rPr>
      </w:pPr>
      <w:hyperlink r:id="rId29" w:anchor="nota24" w:history="1">
        <w:r w:rsidR="0072588B" w:rsidRPr="0072588B">
          <w:rPr>
            <w:rFonts w:ascii="Verdana" w:eastAsia="Times New Roman" w:hAnsi="Verdana" w:cs="Times New Roman"/>
            <w:color w:val="0000FF"/>
            <w:sz w:val="20"/>
            <w:szCs w:val="20"/>
            <w:u w:val="single"/>
            <w:lang w:eastAsia="es-AR"/>
          </w:rPr>
          <w:t>24</w:t>
        </w:r>
      </w:hyperlink>
      <w:r w:rsidR="0072588B" w:rsidRPr="0072588B">
        <w:rPr>
          <w:rFonts w:ascii="Times New Roman" w:eastAsia="Times New Roman" w:hAnsi="Times New Roman" w:cs="Times New Roman"/>
          <w:color w:val="000000"/>
          <w:sz w:val="27"/>
          <w:szCs w:val="27"/>
          <w:lang w:eastAsia="es-AR"/>
        </w:rPr>
        <w:t> Con las equivalencias, Barba no pretende radicalizar la oposición entre el cuerpo cotidiano y el cuerpo en representación, sino demostrar cómo ese cuerpo cotidiano es reelaborado, creando tales equivalencias con fines poéticos, es decir, de “representación” y no de mera “presentación”.</w:t>
      </w:r>
    </w:p>
    <w:p w14:paraId="16E950C8" w14:textId="77777777" w:rsidR="0072588B" w:rsidRPr="0072588B" w:rsidRDefault="0072588B" w:rsidP="0072588B">
      <w:pPr>
        <w:spacing w:after="0" w:line="240" w:lineRule="auto"/>
        <w:rPr>
          <w:rFonts w:ascii="Times New Roman" w:eastAsia="Times New Roman" w:hAnsi="Times New Roman" w:cs="Times New Roman"/>
          <w:sz w:val="24"/>
          <w:szCs w:val="24"/>
          <w:lang w:eastAsia="es-AR"/>
        </w:rPr>
      </w:pPr>
      <w:r w:rsidRPr="0072588B">
        <w:rPr>
          <w:rFonts w:ascii="Times New Roman" w:eastAsia="Times New Roman" w:hAnsi="Times New Roman" w:cs="Times New Roman"/>
          <w:color w:val="000000"/>
          <w:sz w:val="27"/>
          <w:szCs w:val="27"/>
          <w:lang w:eastAsia="es-AR"/>
        </w:rPr>
        <w:br/>
      </w:r>
      <w:r w:rsidRPr="0072588B">
        <w:rPr>
          <w:rFonts w:ascii="Times New Roman" w:eastAsia="Times New Roman" w:hAnsi="Times New Roman" w:cs="Times New Roman"/>
          <w:color w:val="000000"/>
          <w:sz w:val="27"/>
          <w:szCs w:val="27"/>
          <w:lang w:eastAsia="es-AR"/>
        </w:rPr>
        <w:br/>
      </w:r>
    </w:p>
    <w:p w14:paraId="400EE259" w14:textId="7986BCFF" w:rsidR="0072588B" w:rsidRPr="0072588B" w:rsidRDefault="0072588B" w:rsidP="0072588B">
      <w:pPr>
        <w:spacing w:after="0" w:line="240" w:lineRule="auto"/>
        <w:jc w:val="center"/>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t>Paseo de las Palmas No. 7, Col. Fraccionamiento Fuentes de las Ánimas, C.P. 91190, Xalapa, Veracruz, México, correo electrónico:  </w:t>
      </w:r>
      <w:hyperlink r:id="rId30" w:history="1">
        <w:r w:rsidRPr="0072588B">
          <w:rPr>
            <w:rFonts w:ascii="Times New Roman" w:eastAsia="Times New Roman" w:hAnsi="Times New Roman" w:cs="Times New Roman"/>
            <w:color w:val="337755"/>
            <w:sz w:val="27"/>
            <w:szCs w:val="27"/>
            <w:u w:val="single"/>
            <w:lang w:eastAsia="es-AR"/>
          </w:rPr>
          <w:t>investigacionteatraluv@gmail.com</w:t>
        </w:r>
      </w:hyperlink>
      <w:r w:rsidRPr="0072588B">
        <w:rPr>
          <w:rFonts w:ascii="Times New Roman" w:eastAsia="Times New Roman" w:hAnsi="Times New Roman" w:cs="Times New Roman"/>
          <w:color w:val="000000"/>
          <w:sz w:val="27"/>
          <w:szCs w:val="27"/>
          <w:lang w:eastAsia="es-AR"/>
        </w:rPr>
        <w:t xml:space="preserve">. Editor Responsable: Dr. Antonio Prieto </w:t>
      </w:r>
      <w:proofErr w:type="spellStart"/>
      <w:r w:rsidRPr="0072588B">
        <w:rPr>
          <w:rFonts w:ascii="Times New Roman" w:eastAsia="Times New Roman" w:hAnsi="Times New Roman" w:cs="Times New Roman"/>
          <w:color w:val="000000"/>
          <w:sz w:val="27"/>
          <w:szCs w:val="27"/>
          <w:lang w:eastAsia="es-AR"/>
        </w:rPr>
        <w:t>Stambaugh</w:t>
      </w:r>
      <w:proofErr w:type="spellEnd"/>
      <w:r w:rsidRPr="0072588B">
        <w:rPr>
          <w:rFonts w:ascii="Times New Roman" w:eastAsia="Times New Roman" w:hAnsi="Times New Roman" w:cs="Times New Roman"/>
          <w:color w:val="000000"/>
          <w:sz w:val="27"/>
          <w:szCs w:val="27"/>
          <w:lang w:eastAsia="es-AR"/>
        </w:rPr>
        <w:t>. Reserva de Derechos al Uso Exclusivo del título vía red de cómputo No. 04-2017-052611194000-203, ISSN electrónico: 2594-0953; ambos otorgados por el Instituto Nacional de Derecho de Autor. Responsable de la última actualización de este número: Mtro. Héctor Hugo Merino Sánchez, Instituto de Investigaciones en Educación. Calle Paseo No. 112, Col. Nuevo Xalapa Campo Nuevo, C.P. 91193, Xalapa, Ver. </w:t>
      </w:r>
    </w:p>
    <w:p w14:paraId="160E55CA" w14:textId="77777777" w:rsidR="0072588B" w:rsidRPr="0072588B" w:rsidRDefault="0072588B" w:rsidP="0072588B">
      <w:pPr>
        <w:spacing w:after="0" w:line="240" w:lineRule="auto"/>
        <w:jc w:val="center"/>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br/>
      </w:r>
      <w:hyperlink r:id="rId31" w:history="1">
        <w:r w:rsidRPr="0072588B">
          <w:rPr>
            <w:rFonts w:ascii="Times New Roman" w:eastAsia="Times New Roman" w:hAnsi="Times New Roman" w:cs="Times New Roman"/>
            <w:color w:val="0000FF"/>
            <w:sz w:val="27"/>
            <w:szCs w:val="27"/>
            <w:u w:val="single"/>
            <w:lang w:eastAsia="es-AR"/>
          </w:rPr>
          <w:t xml:space="preserve">Licencia de </w:t>
        </w:r>
        <w:proofErr w:type="spellStart"/>
        <w:r w:rsidRPr="0072588B">
          <w:rPr>
            <w:rFonts w:ascii="Times New Roman" w:eastAsia="Times New Roman" w:hAnsi="Times New Roman" w:cs="Times New Roman"/>
            <w:color w:val="0000FF"/>
            <w:sz w:val="27"/>
            <w:szCs w:val="27"/>
            <w:u w:val="single"/>
            <w:lang w:eastAsia="es-AR"/>
          </w:rPr>
          <w:t>Creative</w:t>
        </w:r>
        <w:proofErr w:type="spellEnd"/>
        <w:r w:rsidRPr="0072588B">
          <w:rPr>
            <w:rFonts w:ascii="Times New Roman" w:eastAsia="Times New Roman" w:hAnsi="Times New Roman" w:cs="Times New Roman"/>
            <w:color w:val="0000FF"/>
            <w:sz w:val="27"/>
            <w:szCs w:val="27"/>
            <w:u w:val="single"/>
            <w:lang w:eastAsia="es-AR"/>
          </w:rPr>
          <w:t xml:space="preserve"> </w:t>
        </w:r>
        <w:proofErr w:type="spellStart"/>
        <w:r w:rsidRPr="0072588B">
          <w:rPr>
            <w:rFonts w:ascii="Times New Roman" w:eastAsia="Times New Roman" w:hAnsi="Times New Roman" w:cs="Times New Roman"/>
            <w:color w:val="0000FF"/>
            <w:sz w:val="27"/>
            <w:szCs w:val="27"/>
            <w:u w:val="single"/>
            <w:lang w:eastAsia="es-AR"/>
          </w:rPr>
          <w:t>Commons</w:t>
        </w:r>
        <w:proofErr w:type="spellEnd"/>
      </w:hyperlink>
      <w:r w:rsidRPr="0072588B">
        <w:rPr>
          <w:rFonts w:ascii="Times New Roman" w:eastAsia="Times New Roman" w:hAnsi="Times New Roman" w:cs="Times New Roman"/>
          <w:color w:val="000000"/>
          <w:sz w:val="27"/>
          <w:szCs w:val="27"/>
          <w:lang w:eastAsia="es-AR"/>
        </w:rPr>
        <w:br/>
      </w:r>
      <w:proofErr w:type="gramStart"/>
      <w:r w:rsidRPr="0072588B">
        <w:rPr>
          <w:rFonts w:ascii="Times New Roman" w:eastAsia="Times New Roman" w:hAnsi="Times New Roman" w:cs="Times New Roman"/>
          <w:color w:val="000000"/>
          <w:sz w:val="27"/>
          <w:szCs w:val="27"/>
          <w:lang w:eastAsia="es-AR"/>
        </w:rPr>
        <w:t>Este obra</w:t>
      </w:r>
      <w:proofErr w:type="gramEnd"/>
      <w:r w:rsidRPr="0072588B">
        <w:rPr>
          <w:rFonts w:ascii="Times New Roman" w:eastAsia="Times New Roman" w:hAnsi="Times New Roman" w:cs="Times New Roman"/>
          <w:color w:val="000000"/>
          <w:sz w:val="27"/>
          <w:szCs w:val="27"/>
          <w:lang w:eastAsia="es-AR"/>
        </w:rPr>
        <w:t xml:space="preserve"> está bajo una </w:t>
      </w:r>
      <w:hyperlink r:id="rId32" w:history="1">
        <w:r w:rsidRPr="0072588B">
          <w:rPr>
            <w:rFonts w:ascii="Times New Roman" w:eastAsia="Times New Roman" w:hAnsi="Times New Roman" w:cs="Times New Roman"/>
            <w:color w:val="0000FF"/>
            <w:sz w:val="27"/>
            <w:szCs w:val="27"/>
            <w:u w:val="single"/>
            <w:lang w:eastAsia="es-AR"/>
          </w:rPr>
          <w:t xml:space="preserve">licencia de </w:t>
        </w:r>
        <w:proofErr w:type="spellStart"/>
        <w:r w:rsidRPr="0072588B">
          <w:rPr>
            <w:rFonts w:ascii="Times New Roman" w:eastAsia="Times New Roman" w:hAnsi="Times New Roman" w:cs="Times New Roman"/>
            <w:color w:val="0000FF"/>
            <w:sz w:val="27"/>
            <w:szCs w:val="27"/>
            <w:u w:val="single"/>
            <w:lang w:eastAsia="es-AR"/>
          </w:rPr>
          <w:t>Creative</w:t>
        </w:r>
        <w:proofErr w:type="spellEnd"/>
        <w:r w:rsidRPr="0072588B">
          <w:rPr>
            <w:rFonts w:ascii="Times New Roman" w:eastAsia="Times New Roman" w:hAnsi="Times New Roman" w:cs="Times New Roman"/>
            <w:color w:val="0000FF"/>
            <w:sz w:val="27"/>
            <w:szCs w:val="27"/>
            <w:u w:val="single"/>
            <w:lang w:eastAsia="es-AR"/>
          </w:rPr>
          <w:t xml:space="preserve"> </w:t>
        </w:r>
        <w:proofErr w:type="spellStart"/>
        <w:r w:rsidRPr="0072588B">
          <w:rPr>
            <w:rFonts w:ascii="Times New Roman" w:eastAsia="Times New Roman" w:hAnsi="Times New Roman" w:cs="Times New Roman"/>
            <w:color w:val="0000FF"/>
            <w:sz w:val="27"/>
            <w:szCs w:val="27"/>
            <w:u w:val="single"/>
            <w:lang w:eastAsia="es-AR"/>
          </w:rPr>
          <w:t>Commons</w:t>
        </w:r>
        <w:proofErr w:type="spellEnd"/>
        <w:r w:rsidRPr="0072588B">
          <w:rPr>
            <w:rFonts w:ascii="Times New Roman" w:eastAsia="Times New Roman" w:hAnsi="Times New Roman" w:cs="Times New Roman"/>
            <w:color w:val="0000FF"/>
            <w:sz w:val="27"/>
            <w:szCs w:val="27"/>
            <w:u w:val="single"/>
            <w:lang w:eastAsia="es-AR"/>
          </w:rPr>
          <w:t xml:space="preserve"> Reconocimiento-</w:t>
        </w:r>
        <w:proofErr w:type="spellStart"/>
        <w:r w:rsidRPr="0072588B">
          <w:rPr>
            <w:rFonts w:ascii="Times New Roman" w:eastAsia="Times New Roman" w:hAnsi="Times New Roman" w:cs="Times New Roman"/>
            <w:color w:val="0000FF"/>
            <w:sz w:val="27"/>
            <w:szCs w:val="27"/>
            <w:u w:val="single"/>
            <w:lang w:eastAsia="es-AR"/>
          </w:rPr>
          <w:t>NoComercial</w:t>
        </w:r>
        <w:proofErr w:type="spellEnd"/>
        <w:r w:rsidRPr="0072588B">
          <w:rPr>
            <w:rFonts w:ascii="Times New Roman" w:eastAsia="Times New Roman" w:hAnsi="Times New Roman" w:cs="Times New Roman"/>
            <w:color w:val="0000FF"/>
            <w:sz w:val="27"/>
            <w:szCs w:val="27"/>
            <w:u w:val="single"/>
            <w:lang w:eastAsia="es-AR"/>
          </w:rPr>
          <w:t xml:space="preserve"> 4.0 Internacional</w:t>
        </w:r>
      </w:hyperlink>
      <w:r w:rsidRPr="0072588B">
        <w:rPr>
          <w:rFonts w:ascii="Times New Roman" w:eastAsia="Times New Roman" w:hAnsi="Times New Roman" w:cs="Times New Roman"/>
          <w:color w:val="000000"/>
          <w:sz w:val="27"/>
          <w:szCs w:val="27"/>
          <w:lang w:eastAsia="es-AR"/>
        </w:rPr>
        <w:t>.</w:t>
      </w:r>
    </w:p>
    <w:p w14:paraId="3EFDD79C" w14:textId="77777777" w:rsidR="0072588B" w:rsidRPr="0072588B" w:rsidRDefault="0072588B" w:rsidP="0072588B">
      <w:pPr>
        <w:spacing w:after="0" w:line="240" w:lineRule="auto"/>
        <w:jc w:val="center"/>
        <w:rPr>
          <w:rFonts w:ascii="Times New Roman" w:eastAsia="Times New Roman" w:hAnsi="Times New Roman" w:cs="Times New Roman"/>
          <w:color w:val="000000"/>
          <w:sz w:val="27"/>
          <w:szCs w:val="27"/>
          <w:lang w:eastAsia="es-AR"/>
        </w:rPr>
      </w:pPr>
      <w:r w:rsidRPr="0072588B">
        <w:rPr>
          <w:rFonts w:ascii="Times New Roman" w:eastAsia="Times New Roman" w:hAnsi="Times New Roman" w:cs="Times New Roman"/>
          <w:color w:val="000000"/>
          <w:sz w:val="27"/>
          <w:szCs w:val="27"/>
          <w:lang w:eastAsia="es-AR"/>
        </w:rPr>
        <w:br/>
        <w:t>Las opiniones expresadas por los autores no necesariamente reflejan la postura de los editores de la publicación. Se autoriza la reproducción total o parcial de los artículos aquí presentados, siempre y cuando se cite la fuente completa y su dirección electrónica.</w:t>
      </w:r>
    </w:p>
    <w:p w14:paraId="2B45627A" w14:textId="77777777" w:rsidR="0072588B" w:rsidRPr="0072588B" w:rsidRDefault="0072588B" w:rsidP="0072588B">
      <w:pPr>
        <w:spacing w:after="0" w:line="240" w:lineRule="auto"/>
        <w:rPr>
          <w:rFonts w:ascii="Times New Roman" w:eastAsia="Times New Roman" w:hAnsi="Times New Roman" w:cs="Times New Roman"/>
          <w:sz w:val="24"/>
          <w:szCs w:val="24"/>
          <w:lang w:eastAsia="es-AR"/>
        </w:rPr>
      </w:pPr>
      <w:r w:rsidRPr="0072588B">
        <w:rPr>
          <w:rFonts w:ascii="Times New Roman" w:eastAsia="Times New Roman" w:hAnsi="Times New Roman" w:cs="Times New Roman"/>
          <w:color w:val="000000"/>
          <w:sz w:val="27"/>
          <w:szCs w:val="27"/>
          <w:lang w:eastAsia="es-AR"/>
        </w:rPr>
        <w:br/>
      </w:r>
    </w:p>
    <w:p w14:paraId="30B56300" w14:textId="77777777" w:rsidR="00E20A5A" w:rsidRDefault="00E20A5A"/>
    <w:sectPr w:rsidR="00E20A5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3A89"/>
    <w:multiLevelType w:val="multilevel"/>
    <w:tmpl w:val="97FA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DA00C7"/>
    <w:multiLevelType w:val="multilevel"/>
    <w:tmpl w:val="11F09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574D21"/>
    <w:multiLevelType w:val="multilevel"/>
    <w:tmpl w:val="7DF4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00983"/>
    <w:multiLevelType w:val="multilevel"/>
    <w:tmpl w:val="46C8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49010E"/>
    <w:multiLevelType w:val="multilevel"/>
    <w:tmpl w:val="32CC1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B7A90"/>
    <w:multiLevelType w:val="multilevel"/>
    <w:tmpl w:val="53566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0C6D86"/>
    <w:multiLevelType w:val="multilevel"/>
    <w:tmpl w:val="F8D6C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8A065C"/>
    <w:multiLevelType w:val="multilevel"/>
    <w:tmpl w:val="3C8C1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4"/>
  </w:num>
  <w:num w:numId="5">
    <w:abstractNumId w:val="7"/>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85E"/>
    <w:rsid w:val="0072588B"/>
    <w:rsid w:val="00883BD7"/>
    <w:rsid w:val="00A3585E"/>
    <w:rsid w:val="00A749C9"/>
    <w:rsid w:val="00B3659A"/>
    <w:rsid w:val="00E20A5A"/>
    <w:rsid w:val="00FA63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E861F"/>
  <w15:chartTrackingRefBased/>
  <w15:docId w15:val="{DC532455-7352-49C1-9234-37176E03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72588B"/>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72588B"/>
    <w:rPr>
      <w:rFonts w:ascii="Times New Roman" w:eastAsia="Times New Roman" w:hAnsi="Times New Roman" w:cs="Times New Roman"/>
      <w:b/>
      <w:bCs/>
      <w:sz w:val="27"/>
      <w:szCs w:val="27"/>
      <w:lang w:eastAsia="es-AR"/>
    </w:rPr>
  </w:style>
  <w:style w:type="paragraph" w:styleId="NormalWeb">
    <w:name w:val="Normal (Web)"/>
    <w:basedOn w:val="Normal"/>
    <w:uiPriority w:val="99"/>
    <w:semiHidden/>
    <w:unhideWhenUsed/>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72588B"/>
    <w:rPr>
      <w:color w:val="0000FF"/>
      <w:u w:val="single"/>
    </w:rPr>
  </w:style>
  <w:style w:type="paragraph" w:customStyle="1" w:styleId="navitem">
    <w:name w:val="navitem"/>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tulos-art-culoseccin">
    <w:name w:val="t-tulos-art-culo_sección"/>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ortadillat-tulo">
    <w:name w:val="portadilla_t-tulo"/>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ortadillaautores">
    <w:name w:val="portadilla_autores"/>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ortadillafiliacin-final">
    <w:name w:val="portadilla_filiación-final"/>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ortadillarecibido">
    <w:name w:val="portadilla_recibido"/>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ortadillaaceptado">
    <w:name w:val="portadilla_aceptado"/>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resumen-resumen-">
    <w:name w:val="resumen_-resumen-"/>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resumentexto">
    <w:name w:val="resumen_texto"/>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resumenpalabras-clave">
    <w:name w:val="resumen_palabras-clave"/>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tulos-art-culot-tulo-2">
    <w:name w:val="t-tulos-art-culo_t-tulo-2"/>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rt-culoinicio">
    <w:name w:val="art-culo_inicio"/>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rt-culonormal">
    <w:name w:val="art-culo_normal"/>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rt-culobloque-1bloque-solo">
    <w:name w:val="art-culo_bloque-1_bloque-solo"/>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rt-culoep-grafe">
    <w:name w:val="art-culo_ep-grafe"/>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rt-culoautor-ep-grafe">
    <w:name w:val="art-culo_autor-ep-grafe"/>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aparrafo-lista-1-2-3-inicio">
    <w:name w:val="lista_parrafo-lista-1-2-3-inicio"/>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aparrafo-lista-1-2-3">
    <w:name w:val="lista_parrafo-lista-1-2-3"/>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aparrafo-lista-a--b--c-inicio">
    <w:name w:val="lista_parrafo-lista-a--b--c-inicio"/>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aparrafo-lista-a--b--c">
    <w:name w:val="lista_parrafo-lista-a--b--c"/>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aparrafo-bullets">
    <w:name w:val="lista_parrafo-bullets"/>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abullets-nivel-2">
    <w:name w:val="lista_bullets-nivel-2"/>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rt-culoreferencias">
    <w:name w:val="art-culo_referencias"/>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rt-culonota-al-pie">
    <w:name w:val="art-culo_nota-al-pie"/>
    <w:basedOn w:val="Normal"/>
    <w:rsid w:val="0072588B"/>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542378">
      <w:bodyDiv w:val="1"/>
      <w:marLeft w:val="0"/>
      <w:marRight w:val="0"/>
      <w:marTop w:val="0"/>
      <w:marBottom w:val="0"/>
      <w:divBdr>
        <w:top w:val="none" w:sz="0" w:space="0" w:color="auto"/>
        <w:left w:val="none" w:sz="0" w:space="0" w:color="auto"/>
        <w:bottom w:val="none" w:sz="0" w:space="0" w:color="auto"/>
        <w:right w:val="none" w:sz="0" w:space="0" w:color="auto"/>
      </w:divBdr>
      <w:divsChild>
        <w:div w:id="165285730">
          <w:marLeft w:val="0"/>
          <w:marRight w:val="0"/>
          <w:marTop w:val="0"/>
          <w:marBottom w:val="0"/>
          <w:divBdr>
            <w:top w:val="none" w:sz="0" w:space="0" w:color="auto"/>
            <w:left w:val="none" w:sz="0" w:space="0" w:color="auto"/>
            <w:bottom w:val="none" w:sz="0" w:space="0" w:color="auto"/>
            <w:right w:val="none" w:sz="0" w:space="0" w:color="auto"/>
          </w:divBdr>
          <w:divsChild>
            <w:div w:id="1812551683">
              <w:marLeft w:val="0"/>
              <w:marRight w:val="0"/>
              <w:marTop w:val="0"/>
              <w:marBottom w:val="0"/>
              <w:divBdr>
                <w:top w:val="none" w:sz="0" w:space="0" w:color="auto"/>
                <w:left w:val="none" w:sz="0" w:space="0" w:color="auto"/>
                <w:bottom w:val="none" w:sz="0" w:space="0" w:color="auto"/>
                <w:right w:val="none" w:sz="0" w:space="0" w:color="auto"/>
              </w:divBdr>
              <w:divsChild>
                <w:div w:id="178934103">
                  <w:marLeft w:val="0"/>
                  <w:marRight w:val="0"/>
                  <w:marTop w:val="0"/>
                  <w:marBottom w:val="0"/>
                  <w:divBdr>
                    <w:top w:val="none" w:sz="0" w:space="0" w:color="auto"/>
                    <w:left w:val="none" w:sz="0" w:space="0" w:color="auto"/>
                    <w:bottom w:val="none" w:sz="0" w:space="0" w:color="auto"/>
                    <w:right w:val="none" w:sz="0" w:space="0" w:color="auto"/>
                  </w:divBdr>
                  <w:divsChild>
                    <w:div w:id="1693916796">
                      <w:marLeft w:val="0"/>
                      <w:marRight w:val="0"/>
                      <w:marTop w:val="0"/>
                      <w:marBottom w:val="0"/>
                      <w:divBdr>
                        <w:top w:val="none" w:sz="0" w:space="0" w:color="auto"/>
                        <w:left w:val="none" w:sz="0" w:space="0" w:color="auto"/>
                        <w:bottom w:val="none" w:sz="0" w:space="0" w:color="auto"/>
                        <w:right w:val="none" w:sz="0" w:space="0" w:color="auto"/>
                      </w:divBdr>
                    </w:div>
                  </w:divsChild>
                </w:div>
                <w:div w:id="317149252">
                  <w:marLeft w:val="0"/>
                  <w:marRight w:val="0"/>
                  <w:marTop w:val="0"/>
                  <w:marBottom w:val="0"/>
                  <w:divBdr>
                    <w:top w:val="none" w:sz="0" w:space="0" w:color="auto"/>
                    <w:left w:val="none" w:sz="0" w:space="0" w:color="auto"/>
                    <w:bottom w:val="none" w:sz="0" w:space="0" w:color="auto"/>
                    <w:right w:val="none" w:sz="0" w:space="0" w:color="auto"/>
                  </w:divBdr>
                </w:div>
                <w:div w:id="1408768312">
                  <w:marLeft w:val="0"/>
                  <w:marRight w:val="0"/>
                  <w:marTop w:val="0"/>
                  <w:marBottom w:val="0"/>
                  <w:divBdr>
                    <w:top w:val="none" w:sz="0" w:space="0" w:color="auto"/>
                    <w:left w:val="none" w:sz="0" w:space="0" w:color="auto"/>
                    <w:bottom w:val="none" w:sz="0" w:space="0" w:color="auto"/>
                    <w:right w:val="none" w:sz="0" w:space="0" w:color="auto"/>
                  </w:divBdr>
                </w:div>
                <w:div w:id="1979676648">
                  <w:marLeft w:val="0"/>
                  <w:marRight w:val="0"/>
                  <w:marTop w:val="0"/>
                  <w:marBottom w:val="0"/>
                  <w:divBdr>
                    <w:top w:val="none" w:sz="0" w:space="0" w:color="auto"/>
                    <w:left w:val="none" w:sz="0" w:space="0" w:color="auto"/>
                    <w:bottom w:val="none" w:sz="0" w:space="0" w:color="auto"/>
                    <w:right w:val="none" w:sz="0" w:space="0" w:color="auto"/>
                  </w:divBdr>
                </w:div>
                <w:div w:id="1136871612">
                  <w:marLeft w:val="0"/>
                  <w:marRight w:val="0"/>
                  <w:marTop w:val="0"/>
                  <w:marBottom w:val="0"/>
                  <w:divBdr>
                    <w:top w:val="none" w:sz="0" w:space="0" w:color="auto"/>
                    <w:left w:val="none" w:sz="0" w:space="0" w:color="auto"/>
                    <w:bottom w:val="none" w:sz="0" w:space="0" w:color="auto"/>
                    <w:right w:val="none" w:sz="0" w:space="0" w:color="auto"/>
                  </w:divBdr>
                </w:div>
                <w:div w:id="1862040554">
                  <w:marLeft w:val="0"/>
                  <w:marRight w:val="0"/>
                  <w:marTop w:val="0"/>
                  <w:marBottom w:val="0"/>
                  <w:divBdr>
                    <w:top w:val="none" w:sz="0" w:space="0" w:color="auto"/>
                    <w:left w:val="none" w:sz="0" w:space="0" w:color="auto"/>
                    <w:bottom w:val="none" w:sz="0" w:space="0" w:color="auto"/>
                    <w:right w:val="none" w:sz="0" w:space="0" w:color="auto"/>
                  </w:divBdr>
                </w:div>
                <w:div w:id="15190043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706739">
          <w:marLeft w:val="0"/>
          <w:marRight w:val="0"/>
          <w:marTop w:val="0"/>
          <w:marBottom w:val="0"/>
          <w:divBdr>
            <w:top w:val="none" w:sz="0" w:space="0" w:color="auto"/>
            <w:left w:val="none" w:sz="0" w:space="0" w:color="auto"/>
            <w:bottom w:val="none" w:sz="0" w:space="0" w:color="auto"/>
            <w:right w:val="none" w:sz="0" w:space="0" w:color="auto"/>
          </w:divBdr>
          <w:divsChild>
            <w:div w:id="1253391739">
              <w:marLeft w:val="0"/>
              <w:marRight w:val="0"/>
              <w:marTop w:val="0"/>
              <w:marBottom w:val="0"/>
              <w:divBdr>
                <w:top w:val="none" w:sz="0" w:space="0" w:color="auto"/>
                <w:left w:val="none" w:sz="0" w:space="0" w:color="auto"/>
                <w:bottom w:val="none" w:sz="0" w:space="0" w:color="auto"/>
                <w:right w:val="none" w:sz="0" w:space="0" w:color="auto"/>
              </w:divBdr>
            </w:div>
            <w:div w:id="862784271">
              <w:marLeft w:val="0"/>
              <w:marRight w:val="0"/>
              <w:marTop w:val="0"/>
              <w:marBottom w:val="0"/>
              <w:divBdr>
                <w:top w:val="none" w:sz="0" w:space="0" w:color="auto"/>
                <w:left w:val="none" w:sz="0" w:space="0" w:color="auto"/>
                <w:bottom w:val="none" w:sz="0" w:space="0" w:color="auto"/>
                <w:right w:val="none" w:sz="0" w:space="0" w:color="auto"/>
              </w:divBdr>
            </w:div>
            <w:div w:id="991368056">
              <w:marLeft w:val="0"/>
              <w:marRight w:val="0"/>
              <w:marTop w:val="0"/>
              <w:marBottom w:val="0"/>
              <w:divBdr>
                <w:top w:val="none" w:sz="0" w:space="0" w:color="auto"/>
                <w:left w:val="none" w:sz="0" w:space="0" w:color="auto"/>
                <w:bottom w:val="none" w:sz="0" w:space="0" w:color="auto"/>
                <w:right w:val="none" w:sz="0" w:space="0" w:color="auto"/>
              </w:divBdr>
              <w:divsChild>
                <w:div w:id="192498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igacionteatral.uv.mx/index.php/investigacionteatral/article/view/2589/4512" TargetMode="External"/><Relationship Id="rId13" Type="http://schemas.openxmlformats.org/officeDocument/2006/relationships/hyperlink" Target="http://investigacionteatral.uv.mx/index.php/investigacionteatral/article/view/2589/4512" TargetMode="External"/><Relationship Id="rId18" Type="http://schemas.openxmlformats.org/officeDocument/2006/relationships/hyperlink" Target="http://investigacionteatral.uv.mx/index.php/investigacionteatral/article/view/2589/4512" TargetMode="External"/><Relationship Id="rId26" Type="http://schemas.openxmlformats.org/officeDocument/2006/relationships/hyperlink" Target="http://investigacionteatral.uv.mx/index.php/investigacionteatral/article/view/2589/4512" TargetMode="External"/><Relationship Id="rId3" Type="http://schemas.openxmlformats.org/officeDocument/2006/relationships/settings" Target="settings.xml"/><Relationship Id="rId21" Type="http://schemas.openxmlformats.org/officeDocument/2006/relationships/hyperlink" Target="http://investigacionteatral.uv.mx/index.php/investigacionteatral/article/view/2589/4512" TargetMode="External"/><Relationship Id="rId34" Type="http://schemas.openxmlformats.org/officeDocument/2006/relationships/theme" Target="theme/theme1.xml"/><Relationship Id="rId7" Type="http://schemas.openxmlformats.org/officeDocument/2006/relationships/hyperlink" Target="http://investigacionteatral.uv.mx/index.php/investigacionteatral/article/view/2589/4512" TargetMode="External"/><Relationship Id="rId12" Type="http://schemas.openxmlformats.org/officeDocument/2006/relationships/hyperlink" Target="http://investigacionteatral.uv.mx/index.php/investigacionteatral/article/view/2589/4512" TargetMode="External"/><Relationship Id="rId17" Type="http://schemas.openxmlformats.org/officeDocument/2006/relationships/hyperlink" Target="http://investigacionteatral.uv.mx/index.php/investigacionteatral/article/view/2589/4512" TargetMode="External"/><Relationship Id="rId25" Type="http://schemas.openxmlformats.org/officeDocument/2006/relationships/hyperlink" Target="http://investigacionteatral.uv.mx/index.php/investigacionteatral/article/view/2589/4512"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vestigacionteatral.uv.mx/index.php/investigacionteatral/article/view/2589/4512" TargetMode="External"/><Relationship Id="rId20" Type="http://schemas.openxmlformats.org/officeDocument/2006/relationships/hyperlink" Target="http://investigacionteatral.uv.mx/index.php/investigacionteatral/article/view/2589/4512" TargetMode="External"/><Relationship Id="rId29" Type="http://schemas.openxmlformats.org/officeDocument/2006/relationships/hyperlink" Target="http://investigacionteatral.uv.mx/index.php/investigacionteatral/article/view/2589/4512" TargetMode="External"/><Relationship Id="rId1" Type="http://schemas.openxmlformats.org/officeDocument/2006/relationships/numbering" Target="numbering.xml"/><Relationship Id="rId6" Type="http://schemas.openxmlformats.org/officeDocument/2006/relationships/hyperlink" Target="http://investigacionteatral.uv.mx/index.php/investigacionteatral/article/view/2589/4512" TargetMode="External"/><Relationship Id="rId11" Type="http://schemas.openxmlformats.org/officeDocument/2006/relationships/hyperlink" Target="http://investigacionteatral.uv.mx/index.php/investigacionteatral/article/view/2589/4512" TargetMode="External"/><Relationship Id="rId24" Type="http://schemas.openxmlformats.org/officeDocument/2006/relationships/hyperlink" Target="http://investigacionteatral.uv.mx/index.php/investigacionteatral/article/view/2589/4512" TargetMode="External"/><Relationship Id="rId32" Type="http://schemas.openxmlformats.org/officeDocument/2006/relationships/hyperlink" Target="http://creativecommons.org/licenses/by-nc/4.0/" TargetMode="External"/><Relationship Id="rId5" Type="http://schemas.openxmlformats.org/officeDocument/2006/relationships/hyperlink" Target="http://investigacionteatral.uv.mx/index.php/investigacionteatral/manager/setup/investigacionteatral.uv.mx" TargetMode="External"/><Relationship Id="rId15" Type="http://schemas.openxmlformats.org/officeDocument/2006/relationships/hyperlink" Target="http://investigacionteatral.uv.mx/index.php/investigacionteatral/article/view/2589/4512" TargetMode="External"/><Relationship Id="rId23" Type="http://schemas.openxmlformats.org/officeDocument/2006/relationships/hyperlink" Target="http://investigacionteatral.uv.mx/index.php/investigacionteatral/article/view/2589/4512" TargetMode="External"/><Relationship Id="rId28" Type="http://schemas.openxmlformats.org/officeDocument/2006/relationships/hyperlink" Target="http://investigacionteatral.uv.mx/index.php/investigacionteatral/article/view/2589/4512" TargetMode="External"/><Relationship Id="rId10" Type="http://schemas.openxmlformats.org/officeDocument/2006/relationships/hyperlink" Target="http://investigacionteatral.uv.mx/index.php/investigacionteatral/article/view/2589/4512" TargetMode="External"/><Relationship Id="rId19" Type="http://schemas.openxmlformats.org/officeDocument/2006/relationships/hyperlink" Target="http://investigacionteatral.uv.mx/index.php/investigacionteatral/article/view/2589/4512" TargetMode="External"/><Relationship Id="rId31" Type="http://schemas.openxmlformats.org/officeDocument/2006/relationships/hyperlink" Target="http://creativecommons.org/licenses/by-nc/4.0/" TargetMode="External"/><Relationship Id="rId4" Type="http://schemas.openxmlformats.org/officeDocument/2006/relationships/webSettings" Target="webSettings.xml"/><Relationship Id="rId9" Type="http://schemas.openxmlformats.org/officeDocument/2006/relationships/hyperlink" Target="http://investigacionteatral.uv.mx/index.php/investigacionteatral/article/view/2589/4512" TargetMode="External"/><Relationship Id="rId14" Type="http://schemas.openxmlformats.org/officeDocument/2006/relationships/hyperlink" Target="http://investigacionteatral.uv.mx/index.php/investigacionteatral/article/view/2589/4512" TargetMode="External"/><Relationship Id="rId22" Type="http://schemas.openxmlformats.org/officeDocument/2006/relationships/hyperlink" Target="http://investigacionteatral.uv.mx/index.php/investigacionteatral/article/view/2589/4512" TargetMode="External"/><Relationship Id="rId27" Type="http://schemas.openxmlformats.org/officeDocument/2006/relationships/hyperlink" Target="http://investigacionteatral.uv.mx/index.php/investigacionteatral/article/view/2589/4512" TargetMode="External"/><Relationship Id="rId30" Type="http://schemas.openxmlformats.org/officeDocument/2006/relationships/hyperlink" Target="mailto:investigacionteatraluv@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5770</Words>
  <Characters>31736</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arrojo</dc:creator>
  <cp:keywords/>
  <dc:description/>
  <cp:lastModifiedBy>victor arrojo</cp:lastModifiedBy>
  <cp:revision>2</cp:revision>
  <dcterms:created xsi:type="dcterms:W3CDTF">2022-05-15T13:57:00Z</dcterms:created>
  <dcterms:modified xsi:type="dcterms:W3CDTF">2022-05-15T13:57:00Z</dcterms:modified>
</cp:coreProperties>
</file>